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440" w:after="120"/>
      </w:pPr>
      <w:r>
        <w:t xml:space="preserve"/>
      </w:r>
    </w:p>
    <w:p>
      <w:pPr>
        <w:spacing w:before="0" w:after="120"/>
        <w:jc w:val="center"/>
      </w:pPr>
      <w:r>
        <w:rPr>
          <w:rFonts w:ascii="Arial" w:cs="Arial" w:eastAsia="Arial" w:hAnsi="Arial"/>
          <w:b/>
          <w:bCs/>
          <w:caps/>
          <w:color w:val="2E75B6"/>
          <w:sz w:val="28"/>
          <w:szCs w:val="28"/>
        </w:rPr>
        <w:t xml:space="preserve">CHAPITRE 7</w:t>
      </w:r>
    </w:p>
    <w:p>
      <w:pPr>
        <w:pBdr>
          <w:bottom w:val="single" w:color="1F4E79" w:sz="12" w:space="8"/>
        </w:pBdr>
        <w:spacing w:before="0" w:after="240"/>
        <w:jc w:val="center"/>
      </w:pPr>
      <w:r>
        <w:rPr>
          <w:rFonts w:ascii="Arial" w:cs="Arial" w:eastAsia="Arial" w:hAnsi="Arial"/>
          <w:b/>
          <w:bCs/>
          <w:color w:val="1F4E79"/>
          <w:sz w:val="44"/>
          <w:szCs w:val="44"/>
        </w:rPr>
        <w:t xml:space="preserve">Analyse des Systèmes de Mesure (MSA)</w:t>
      </w:r>
    </w:p>
    <w:p>
      <w:pPr>
        <w:spacing w:before="240" w:after="80"/>
        <w:jc w:val="center"/>
      </w:pPr>
      <w:r>
        <w:rPr>
          <w:rFonts w:ascii="Arial" w:cs="Arial" w:eastAsia="Arial" w:hAnsi="Arial"/>
          <w:i/>
          <w:iCs/>
          <w:color w:val="2874A6"/>
          <w:sz w:val="28"/>
          <w:szCs w:val="28"/>
        </w:rPr>
        <w:t xml:space="preserve">Application à la HPLC en Laboratoire Pharmaceutique</w:t>
      </w:r>
    </w:p>
    <w:p>
      <w:pPr>
        <w:spacing w:before="3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1F4E79" w:val="clear"/>
            <w:tcMar>
              <w:top w:type="dxa" w:w="100"/>
              <w:left w:type="dxa" w:w="160"/>
              <w:bottom w:type="dxa" w:w="100"/>
              <w:right w:type="dxa" w:w="160"/>
            </w:tcMar>
          </w:tcPr>
          <w:p>
            <w:r>
              <w:rPr>
                <w:rFonts w:ascii="Arial" w:cs="Arial" w:eastAsia="Arial" w:hAnsi="Arial"/>
                <w:b/>
                <w:bCs/>
                <w:color w:val="FFFFFF"/>
                <w:sz w:val="22"/>
                <w:szCs w:val="22"/>
              </w:rPr>
              <w:t xml:space="preserve">Objectifs du chapitre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Maîtriser les concepts MSA adaptés au laboratoire analytique pharmaceutique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Planifier et exécuter des études de fidélité (répétabilité, reproductibilité, Gage R&amp;R)</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Évaluer la justesse et la linéarité du système de mesure HPLC</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Interpréter les critères d'acceptation MSA dans un contexte réglementaire (ICH Q2)</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Intégrer les résultats MSA dans l'incertitude de mesure et la gestion du risque</w:t>
            </w:r>
          </w:p>
        </w:tc>
      </w:tr>
    </w:tbl>
    <w:p>
      <w:pPr>
        <w:spacing w:before="240" w:after="120"/>
      </w:pPr>
      <w:r>
        <w:t xml:space="preserve"/>
      </w:r>
    </w:p>
    <w:p>
      <w:r>
        <w:br w:type="page"/>
      </w:r>
    </w:p>
    <w:p>
      <w:pPr>
        <w:pStyle w:val="Heading1"/>
        <w:pBdr>
          <w:bottom w:val="single" w:color="2E75B6" w:sz="8" w:space="4"/>
        </w:pBdr>
        <w:spacing w:before="360" w:after="180"/>
      </w:pPr>
      <w:r>
        <w:rPr>
          <w:rFonts w:ascii="Arial" w:cs="Arial" w:eastAsia="Arial" w:hAnsi="Arial"/>
          <w:b/>
          <w:bCs/>
          <w:color w:val="1F4E79"/>
          <w:sz w:val="32"/>
          <w:szCs w:val="32"/>
        </w:rPr>
        <w:t xml:space="preserve">7.1 Concepts MSA adaptés au laboratoire pharmaceutique</w:t>
      </w:r>
    </w:p>
    <w:p>
      <w:pPr>
        <w:spacing w:before="80" w:after="80"/>
      </w:pPr>
      <w:r>
        <w:rPr>
          <w:rFonts w:ascii="Arial" w:cs="Arial" w:eastAsia="Arial" w:hAnsi="Arial"/>
          <w:color w:val="1A1A2E"/>
          <w:sz w:val="22"/>
          <w:szCs w:val="22"/>
        </w:rPr>
        <w:t xml:space="preserve">L'Analyse des Systèmes de Mesure (MSA) est une méthodologie structurée permettant d'évaluer la performance d'un système de mesure. Bien qu'historiquement développée pour l'industrie manufacturière dans le cadre du AIAG MSA Reference Manual, son adaptation au laboratoire analytique pharmaceutique requiert des ajustements fondamentaux.</w:t>
      </w:r>
    </w:p>
    <w:p>
      <w:pPr>
        <w:spacing w:before="80" w:after="120"/>
      </w:pPr>
      <w:r>
        <w:t xml:space="preserve"/>
      </w:r>
    </w:p>
    <w:p>
      <w:pPr>
        <w:pStyle w:val="Heading2"/>
        <w:spacing w:before="280" w:after="120"/>
      </w:pPr>
      <w:r>
        <w:rPr>
          <w:rFonts w:ascii="Arial" w:cs="Arial" w:eastAsia="Arial" w:hAnsi="Arial"/>
          <w:b/>
          <w:bCs/>
          <w:color w:val="2E75B6"/>
          <w:sz w:val="28"/>
          <w:szCs w:val="28"/>
        </w:rPr>
        <w:t xml:space="preserve">7.1.1 Différences fondamentales : industrie vs laboratoire pharmaceutique</w:t>
      </w:r>
    </w:p>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3430"/>
        <w:gridCol w:w="3430"/>
      </w:tblGrid>
      <w:tr>
        <w:trPr>
          <w:tblHeader/>
        </w:trPr>
        <w:tc>
          <w:tcPr>
            <w:tcW w:type="dxa" w:w="25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Aspect</w:t>
            </w:r>
          </w:p>
        </w:tc>
        <w:tc>
          <w:tcPr>
            <w:tcW w:type="dxa" w:w="343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Industrie Manufacturière</w:t>
            </w:r>
          </w:p>
        </w:tc>
        <w:tc>
          <w:tcPr>
            <w:tcW w:type="dxa" w:w="343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Laboratoire Pharmaceutique</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Objet mesuré</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Pièce physique réutilisable</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Échantillon consommable / dégradable</w:t>
            </w:r>
          </w:p>
        </w:tc>
      </w:tr>
      <w:tr>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Répétabilité</w:t>
            </w:r>
          </w:p>
        </w:tc>
        <w:tc>
          <w:tcPr>
            <w:tcW w:type="dxa" w:w="343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Même pièce, mêmes conditions</w:t>
            </w:r>
          </w:p>
        </w:tc>
        <w:tc>
          <w:tcPr>
            <w:tcW w:type="dxa" w:w="343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Préparations indépendantes d'échantillon</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Opérateurs</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Opérateurs de production</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Analystes/techniciens formés</w:t>
            </w:r>
          </w:p>
        </w:tc>
      </w:tr>
      <w:tr>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Référence réglementaire</w:t>
            </w:r>
          </w:p>
        </w:tc>
        <w:tc>
          <w:tcPr>
            <w:tcW w:type="dxa" w:w="343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AIAG MSA 4ème édition</w:t>
            </w:r>
          </w:p>
        </w:tc>
        <w:tc>
          <w:tcPr>
            <w:tcW w:type="dxa" w:w="343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ICH Q2(R1), USP &lt;1224&gt;, EMA guideline</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Unité de mesure</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Dimensions physiques (µm, mm)</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Concentration, activité, pureté (%)</w:t>
            </w:r>
          </w:p>
        </w:tc>
      </w:tr>
      <w:tr>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Sources de biais</w:t>
            </w:r>
          </w:p>
        </w:tc>
        <w:tc>
          <w:tcPr>
            <w:tcW w:type="dxa" w:w="343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Usure outil, température</w:t>
            </w:r>
          </w:p>
        </w:tc>
        <w:tc>
          <w:tcPr>
            <w:tcW w:type="dxa" w:w="343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Matrice, effet de préparation, solubilité</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Traçabilité</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Standards industriels</w:t>
            </w:r>
          </w:p>
        </w:tc>
        <w:tc>
          <w:tcPr>
            <w:tcW w:type="dxa" w:w="343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SRM, standards primaires pharmacopoéiques</w:t>
            </w:r>
          </w:p>
        </w:tc>
      </w:tr>
    </w:tbl>
    <w:p>
      <w:pPr>
        <w:spacing w:before="12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
        <w:gridCol w:w="9160"/>
      </w:tblGrid>
      <w:tr>
        <w:tc>
          <w:tcPr>
            <w:tcBorders>
              <w:top w:val="single" w:color="1F4E79" w:sz="1"/>
              <w:left w:val="single" w:color="1F4E79" w:sz="1"/>
              <w:bottom w:val="single" w:color="1F4E79" w:sz="1"/>
              <w:right w:val="single" w:color="1F4E79" w:sz="1"/>
            </w:tcBorders>
            <w:shd w:fill="1F4E79" w:val="clear"/>
            <w:tcMar>
              <w:top w:type="dxa" w:w="80"/>
              <w:left w:type="dxa" w:w="100"/>
              <w:bottom w:type="dxa" w:w="80"/>
              <w:right w:type="dxa" w:w="100"/>
            </w:tcMar>
            <w:vAlign w:val="center"/>
          </w:tcPr>
          <w:p>
            <w:pPr>
              <w:jc w:val="center"/>
            </w:pPr>
            <w:r>
              <w:rPr>
                <w:rFonts w:ascii="Arial" w:cs="Arial" w:eastAsia="Arial" w:hAnsi="Arial"/>
                <w:b/>
                <w:bCs/>
                <w:color w:val="FFFFFF"/>
                <w:sz w:val="26"/>
                <w:szCs w:val="26"/>
              </w:rPr>
              <w:t xml:space="preserve">!</w:t>
            </w:r>
          </w:p>
        </w:tc>
        <w:tc>
          <w:tcPr>
            <w:tcBorders>
              <w:top w:val="single" w:color="1F4E79" w:sz="1"/>
              <w:left w:val="single" w:color="1F4E79" w:sz="1"/>
              <w:bottom w:val="single" w:color="1F4E79" w:sz="1"/>
              <w:right w:val="single" w:color="1F4E79"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Point critique réglementaire : Dans l'industrie pharmaceutique, la qualification du système analytique (QI/QO/QP) précède obligatoirement l'étude MSA. La MSA évalue la performance du système qualifié en conditions réelles d'utilisation, incluant la variabilité inter-analyste et inter-jour.</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7.1.2 Le modèle de variabilité du système de mesure</w:t>
      </w:r>
    </w:p>
    <w:p>
      <w:pPr>
        <w:spacing w:before="80" w:after="80"/>
      </w:pPr>
      <w:r>
        <w:rPr>
          <w:rFonts w:ascii="Arial" w:cs="Arial" w:eastAsia="Arial" w:hAnsi="Arial"/>
          <w:color w:val="1A1A2E"/>
          <w:sz w:val="22"/>
          <w:szCs w:val="22"/>
        </w:rPr>
        <w:t xml:space="preserve">Toute mesure analytique est le résultat d'un processus affecté par de multiples sources de variation. Le modèle MSA décompose la variabilité totale observée (σ²total) en composantes attribuables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σ²Total = σ²Processus + σ²Système de mesure</w:t>
            </w:r>
          </w:p>
          <w:p>
            <w:pPr>
              <w:spacing w:before="80"/>
            </w:pPr>
            <w:r>
              <w:rPr>
                <w:rFonts w:ascii="Arial" w:cs="Arial" w:eastAsia="Arial" w:hAnsi="Arial"/>
                <w:i/>
                <w:iCs/>
                <w:color w:val="5D6D7E"/>
                <w:sz w:val="20"/>
                <w:szCs w:val="20"/>
              </w:rPr>
              <w:t xml:space="preserve">Décomposition fondamentale de la variabilité totale observée</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σ²Système de mesure = σ²Répétabilité + σ²Reproductibilité</w:t>
            </w:r>
          </w:p>
          <w:p>
            <w:pPr>
              <w:spacing w:before="80"/>
            </w:pPr>
            <w:r>
              <w:rPr>
                <w:rFonts w:ascii="Arial" w:cs="Arial" w:eastAsia="Arial" w:hAnsi="Arial"/>
                <w:i/>
                <w:iCs/>
                <w:color w:val="5D6D7E"/>
                <w:sz w:val="20"/>
                <w:szCs w:val="20"/>
              </w:rPr>
              <w:t xml:space="preserve">Décomposition de la variabilité du système de mesure (Gage R&amp;R)</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σ²Reproductibilité = σ²Analyste + σ²Analyste×Echantillon + σ²Jour + σ²Colonne + ...</w:t>
            </w:r>
          </w:p>
          <w:p>
            <w:pPr>
              <w:spacing w:before="80"/>
            </w:pPr>
            <w:r>
              <w:rPr>
                <w:rFonts w:ascii="Arial" w:cs="Arial" w:eastAsia="Arial" w:hAnsi="Arial"/>
                <w:i/>
                <w:iCs/>
                <w:color w:val="5D6D7E"/>
                <w:sz w:val="20"/>
                <w:szCs w:val="20"/>
              </w:rPr>
              <w:t xml:space="preserve">Décomposition détaillée de la reproductibilité en laboratoire HPLC</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7.1.3 Sources de variabilité spécifiques à la HPLC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2E75B6" w:val="clear"/>
            <w:tcMar>
              <w:top w:type="dxa" w:w="100"/>
              <w:left w:type="dxa" w:w="160"/>
              <w:bottom w:type="dxa" w:w="100"/>
              <w:right w:type="dxa" w:w="160"/>
            </w:tcMar>
          </w:tcPr>
          <w:p>
            <w:r>
              <w:rPr>
                <w:rFonts w:ascii="Arial" w:cs="Arial" w:eastAsia="Arial" w:hAnsi="Arial"/>
                <w:b/>
                <w:bCs/>
                <w:color w:val="FFFFFF"/>
                <w:sz w:val="22"/>
                <w:szCs w:val="22"/>
              </w:rPr>
              <w:t xml:space="preserve">Sources de variabilité instrumentales (Répétabilité)</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Précision de l'injecteur : volume d'injection, reproductibilité de la boucle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Stabilité de la pompe : précision du gradient, pulsation résiduelle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Détecteur : bruit de ligne de base, dérive thermique (UV, fluorescence, masse)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Thermostatisation de la colonne : stabilité ±0,1°C impact rétention</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Temps mort (t0) : variation de compressibilité de la phase mobile</w:t>
            </w:r>
          </w:p>
        </w:tc>
      </w:tr>
    </w:tbl>
    <w:p>
      <w:pPr>
        <w:spacing w:before="10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1E8449" w:val="clear"/>
            <w:tcMar>
              <w:top w:type="dxa" w:w="100"/>
              <w:left w:type="dxa" w:w="160"/>
              <w:bottom w:type="dxa" w:w="100"/>
              <w:right w:type="dxa" w:w="160"/>
            </w:tcMar>
          </w:tcPr>
          <w:p>
            <w:r>
              <w:rPr>
                <w:rFonts w:ascii="Arial" w:cs="Arial" w:eastAsia="Arial" w:hAnsi="Arial"/>
                <w:b/>
                <w:bCs/>
                <w:color w:val="FFFFFF"/>
                <w:sz w:val="22"/>
                <w:szCs w:val="22"/>
              </w:rPr>
              <w:t xml:space="preserve">Sources de variabilité analytiques (Reproductibilité)</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Préparation de l'échantillon : pesée, dissolution, dilution en série, filtration</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Préparation de la phase mobile : pesée des sels, pH (±0,05 unité pH = impact majeur)</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Vieillissement de la colonne : efficacité, facteur de rétention, symétrie de pic</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Variabilité inter-analyste : interprétation des chromatogrammes, intégration des pics</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Variabilité inter-jour : stabilité des solutions étalon, conditions ambiantes</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Variabilité inter-lot : qualité des réactifs, solvants, colonne HPLC</w:t>
            </w:r>
          </w:p>
        </w:tc>
      </w:tr>
    </w:tbl>
    <w:p>
      <w:pPr>
        <w:spacing w:before="200" w:after="120"/>
      </w:pPr>
      <w:r>
        <w:t xml:space="preserve"/>
      </w:r>
    </w:p>
    <w:p>
      <w:r>
        <w:br w:type="page"/>
      </w:r>
    </w:p>
    <w:p>
      <w:pPr>
        <w:pStyle w:val="Heading1"/>
        <w:pBdr>
          <w:bottom w:val="single" w:color="2E75B6" w:sz="8" w:space="4"/>
        </w:pBdr>
        <w:spacing w:before="360" w:after="180"/>
      </w:pPr>
      <w:r>
        <w:rPr>
          <w:rFonts w:ascii="Arial" w:cs="Arial" w:eastAsia="Arial" w:hAnsi="Arial"/>
          <w:b/>
          <w:bCs/>
          <w:color w:val="1F4E79"/>
          <w:sz w:val="32"/>
          <w:szCs w:val="32"/>
        </w:rPr>
        <w:t xml:space="preserve">7.2 Études de fidélité : répétabilité, reproductibilité et Gage R&amp;R</w:t>
      </w:r>
    </w:p>
    <w:p>
      <w:pPr>
        <w:pStyle w:val="Heading2"/>
        <w:spacing w:before="280" w:after="120"/>
      </w:pPr>
      <w:r>
        <w:rPr>
          <w:rFonts w:ascii="Arial" w:cs="Arial" w:eastAsia="Arial" w:hAnsi="Arial"/>
          <w:b/>
          <w:bCs/>
          <w:color w:val="2E75B6"/>
          <w:sz w:val="28"/>
          <w:szCs w:val="28"/>
        </w:rPr>
        <w:t xml:space="preserve">7.2.1 Définitions et hiérarchie de la fidélité (ICH Q2)</w:t>
      </w:r>
    </w:p>
    <w:p>
      <w:pPr>
        <w:spacing w:before="80" w:after="80"/>
      </w:pPr>
      <w:r>
        <w:rPr>
          <w:rFonts w:ascii="Arial" w:cs="Arial" w:eastAsia="Arial" w:hAnsi="Arial"/>
          <w:color w:val="1A1A2E"/>
          <w:sz w:val="22"/>
          <w:szCs w:val="22"/>
        </w:rPr>
        <w:t xml:space="preserve">La norme ICH Q2(R1) et son complément ICH Q2(R2) définissent une hiérarchie claire des études de fidélité, chacune évaluant un niveau différent de variabilité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800"/>
        <w:gridCol w:w="3200"/>
        <w:gridCol w:w="1360"/>
      </w:tblGrid>
      <w:tr>
        <w:trPr>
          <w:tblHeader/>
        </w:trPr>
        <w:tc>
          <w:tcPr>
            <w:tcW w:type="dxa" w:w="2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Niveau</w:t>
            </w:r>
          </w:p>
        </w:tc>
        <w:tc>
          <w:tcPr>
            <w:tcW w:type="dxa" w:w="2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Définition ICH Q2</w:t>
            </w:r>
          </w:p>
        </w:tc>
        <w:tc>
          <w:tcPr>
            <w:tcW w:type="dxa" w:w="32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Conditions expérimentales</w:t>
            </w:r>
          </w:p>
        </w:tc>
        <w:tc>
          <w:tcPr>
            <w:tcW w:type="dxa" w:w="13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Symbole ISO</w:t>
            </w:r>
          </w:p>
        </w:tc>
      </w:tr>
      <w:tr>
        <w:tc>
          <w:tcPr>
            <w:tcW w:type="dxa" w:w="2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Répétabilité</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Fidélité sous conditions répétabilité</w:t>
            </w:r>
          </w:p>
        </w:tc>
        <w:tc>
          <w:tcPr>
            <w:tcW w:type="dxa" w:w="3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Même analyste, même équipement, même jour, même laboratoire, court intervalle</w:t>
            </w:r>
          </w:p>
        </w:tc>
        <w:tc>
          <w:tcPr>
            <w:tcW w:type="dxa" w:w="1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w:t>
            </w:r>
          </w:p>
        </w:tc>
      </w:tr>
      <w:tr>
        <w:tc>
          <w:tcPr>
            <w:tcW w:type="dxa" w:w="2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Fidélité intermédiaire</w:t>
            </w:r>
          </w:p>
        </w:tc>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Fidélité intra-laboratoire</w:t>
            </w:r>
          </w:p>
        </w:tc>
        <w:tc>
          <w:tcPr>
            <w:tcW w:type="dxa" w:w="3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Variations d'analyste, de jour, d'équipement au sein d'un même labo</w:t>
            </w:r>
          </w:p>
        </w:tc>
        <w:tc>
          <w:tcPr>
            <w:tcW w:type="dxa" w:w="13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w:t>
            </w:r>
          </w:p>
        </w:tc>
      </w:tr>
      <w:tr>
        <w:tc>
          <w:tcPr>
            <w:tcW w:type="dxa" w:w="2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Reproductibilité</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Fidélité inter-laboratoires</w:t>
            </w:r>
          </w:p>
        </w:tc>
        <w:tc>
          <w:tcPr>
            <w:tcW w:type="dxa" w:w="3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Différents laboratoires (études collaboratives, transfert de méthode)</w:t>
            </w:r>
          </w:p>
        </w:tc>
        <w:tc>
          <w:tcPr>
            <w:tcW w:type="dxa" w:w="1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7.2.2 Planification de l'étude de répétabilité HPLC</w:t>
      </w:r>
    </w:p>
    <w:p>
      <w:pPr>
        <w:spacing w:before="80" w:after="80"/>
      </w:pPr>
      <w:r>
        <w:rPr>
          <w:rFonts w:ascii="Arial" w:cs="Arial" w:eastAsia="Arial" w:hAnsi="Arial"/>
          <w:color w:val="1A1A2E"/>
          <w:sz w:val="22"/>
          <w:szCs w:val="22"/>
        </w:rPr>
        <w:t xml:space="preserve">L'étude de répétabilité évalue la variabilité minimale du système dans les meilleures conditions. En HPLC pharmaceutique, elle se décline en deux niveaux :</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a) Répétabilité de l'injection (System precision)</w:t>
      </w:r>
    </w:p>
    <w:p>
      <w:pPr>
        <w:spacing w:before="80" w:after="80"/>
      </w:pPr>
      <w:r>
        <w:rPr>
          <w:rFonts w:ascii="Arial" w:cs="Arial" w:eastAsia="Arial" w:hAnsi="Arial"/>
          <w:color w:val="1A1A2E"/>
          <w:sz w:val="22"/>
          <w:szCs w:val="22"/>
        </w:rPr>
        <w:t xml:space="preserve">Évalue la contribution de l'injecteur et du détecteur uniquement. Une seule préparation d'échantillon est injectée n fois de suite.</w:t>
      </w:r>
    </w:p>
    <w:p>
      <w:pPr>
        <w:pStyle w:val="ListParagraph"/>
        <w:numPr>
          <w:ilvl w:val="0"/>
          <w:numId w:val="2"/>
        </w:numPr>
        <w:spacing w:before="60" w:after="60"/>
      </w:pPr>
      <w:r>
        <w:rPr>
          <w:rFonts w:ascii="Arial" w:cs="Arial" w:eastAsia="Arial" w:hAnsi="Arial"/>
          <w:b w:val="false"/>
          <w:bCs w:val="false"/>
          <w:color w:val="1A1A2E"/>
          <w:sz w:val="22"/>
          <w:szCs w:val="22"/>
        </w:rPr>
        <w:t xml:space="preserve">Protocole standard ICH Q2 : 6 injections consécutives d'une solution à 100% de la concentration nominale</w:t>
      </w:r>
    </w:p>
    <w:p>
      <w:pPr>
        <w:pStyle w:val="ListParagraph"/>
        <w:numPr>
          <w:ilvl w:val="0"/>
          <w:numId w:val="2"/>
        </w:numPr>
        <w:spacing w:before="60" w:after="60"/>
      </w:pPr>
      <w:r>
        <w:rPr>
          <w:rFonts w:ascii="Arial" w:cs="Arial" w:eastAsia="Arial" w:hAnsi="Arial"/>
          <w:b w:val="false"/>
          <w:bCs w:val="false"/>
          <w:color w:val="1A1A2E"/>
          <w:sz w:val="22"/>
          <w:szCs w:val="22"/>
        </w:rPr>
        <w:t xml:space="preserve">Critère d'acceptation typique : %CV ≤ 1,0% (UV standard), ≤ 2,0% (fluorescence/MS)</w:t>
      </w:r>
    </w:p>
    <w:p>
      <w:pPr>
        <w:pStyle w:val="ListParagraph"/>
        <w:numPr>
          <w:ilvl w:val="0"/>
          <w:numId w:val="2"/>
        </w:numPr>
        <w:spacing w:before="60" w:after="60"/>
      </w:pPr>
      <w:r>
        <w:rPr>
          <w:rFonts w:ascii="Arial" w:cs="Arial" w:eastAsia="Arial" w:hAnsi="Arial"/>
          <w:b w:val="false"/>
          <w:bCs w:val="false"/>
          <w:color w:val="1A1A2E"/>
          <w:sz w:val="22"/>
          <w:szCs w:val="22"/>
        </w:rPr>
        <w:t xml:space="preserve">Si %CV &gt; critère : investigation instrumentale obligatoire avant toute autre étude</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%CV = (Écart-type / Moyenne) × 100</w:t>
            </w:r>
          </w:p>
          <w:p>
            <w:pPr>
              <w:spacing w:before="80"/>
            </w:pPr>
            <w:r>
              <w:rPr>
                <w:rFonts w:ascii="Arial" w:cs="Arial" w:eastAsia="Arial" w:hAnsi="Arial"/>
                <w:i/>
                <w:iCs/>
                <w:color w:val="5D6D7E"/>
                <w:sz w:val="20"/>
                <w:szCs w:val="20"/>
              </w:rPr>
              <w:t xml:space="preserve">Coefficient de Variation en pourcentage — mesure de la dispersion relative</w:t>
            </w:r>
          </w:p>
        </w:tc>
      </w:tr>
    </w:tbl>
    <w:p>
      <w:pPr>
        <w:spacing w:before="80" w:after="120"/>
      </w:pPr>
      <w:r>
        <w:t xml:space="preserve"/>
      </w:r>
    </w:p>
    <w:p>
      <w:pPr>
        <w:pStyle w:val="Heading3"/>
        <w:spacing w:before="200" w:after="100"/>
      </w:pPr>
      <w:r>
        <w:rPr>
          <w:rFonts w:ascii="Arial" w:cs="Arial" w:eastAsia="Arial" w:hAnsi="Arial"/>
          <w:b/>
          <w:bCs/>
          <w:color w:val="2874A6"/>
          <w:sz w:val="24"/>
          <w:szCs w:val="24"/>
        </w:rPr>
        <w:t xml:space="preserve">b) Répétabilité de méthode (Method precision)</w:t>
      </w:r>
    </w:p>
    <w:p>
      <w:pPr>
        <w:spacing w:before="80" w:after="80"/>
      </w:pPr>
      <w:r>
        <w:rPr>
          <w:rFonts w:ascii="Arial" w:cs="Arial" w:eastAsia="Arial" w:hAnsi="Arial"/>
          <w:color w:val="1A1A2E"/>
          <w:sz w:val="22"/>
          <w:szCs w:val="22"/>
        </w:rPr>
        <w:t xml:space="preserve">Évalue la variabilité totale de l'injection + préparation de l'échantillon. N préparations indépendantes sont réalisées.</w:t>
      </w:r>
    </w:p>
    <w:p>
      <w:pPr>
        <w:pStyle w:val="ListParagraph"/>
        <w:numPr>
          <w:ilvl w:val="0"/>
          <w:numId w:val="2"/>
        </w:numPr>
        <w:spacing w:before="60" w:after="60"/>
      </w:pPr>
      <w:r>
        <w:rPr>
          <w:rFonts w:ascii="Arial" w:cs="Arial" w:eastAsia="Arial" w:hAnsi="Arial"/>
          <w:b w:val="false"/>
          <w:bCs w:val="false"/>
          <w:color w:val="1A1A2E"/>
          <w:sz w:val="22"/>
          <w:szCs w:val="22"/>
        </w:rPr>
        <w:t xml:space="preserve">Protocole standard ICH Q2 : minimum 6 préparations indépendantes (ou 3 concentrations × 3 réplicats)</w:t>
      </w:r>
    </w:p>
    <w:p>
      <w:pPr>
        <w:pStyle w:val="ListParagraph"/>
        <w:numPr>
          <w:ilvl w:val="0"/>
          <w:numId w:val="2"/>
        </w:numPr>
        <w:spacing w:before="60" w:after="60"/>
      </w:pPr>
      <w:r>
        <w:rPr>
          <w:rFonts w:ascii="Arial" w:cs="Arial" w:eastAsia="Arial" w:hAnsi="Arial"/>
          <w:b w:val="false"/>
          <w:bCs w:val="false"/>
          <w:color w:val="1A1A2E"/>
          <w:sz w:val="22"/>
          <w:szCs w:val="22"/>
        </w:rPr>
        <w:t xml:space="preserve">Chaque préparation est une pesée, dissolution et dilution indépendante</w:t>
      </w:r>
    </w:p>
    <w:p>
      <w:pPr>
        <w:pStyle w:val="ListParagraph"/>
        <w:numPr>
          <w:ilvl w:val="0"/>
          <w:numId w:val="2"/>
        </w:numPr>
        <w:spacing w:before="60" w:after="60"/>
      </w:pPr>
      <w:r>
        <w:rPr>
          <w:rFonts w:ascii="Arial" w:cs="Arial" w:eastAsia="Arial" w:hAnsi="Arial"/>
          <w:b w:val="false"/>
          <w:bCs w:val="false"/>
          <w:color w:val="1A1A2E"/>
          <w:sz w:val="22"/>
          <w:szCs w:val="22"/>
        </w:rPr>
        <w:t xml:space="preserve">Critère typique pour dosage HPLC : %RSD ≤ 2,0% (substance active principale)</w:t>
      </w:r>
    </w:p>
    <w:p>
      <w:pPr>
        <w:pStyle w:val="ListParagraph"/>
        <w:numPr>
          <w:ilvl w:val="0"/>
          <w:numId w:val="2"/>
        </w:numPr>
        <w:spacing w:before="60" w:after="60"/>
      </w:pPr>
      <w:r>
        <w:rPr>
          <w:rFonts w:ascii="Arial" w:cs="Arial" w:eastAsia="Arial" w:hAnsi="Arial"/>
          <w:b w:val="false"/>
          <w:bCs w:val="false"/>
          <w:color w:val="1A1A2E"/>
          <w:sz w:val="22"/>
          <w:szCs w:val="22"/>
        </w:rPr>
        <w:t xml:space="preserve">Critère plus strict pour impuretés à seuil ICH Q3 ≤ 0,1% : %RSD ≤ 5,0% ou ≤ 10%</w:t>
      </w:r>
    </w:p>
    <w:p>
      <w:pPr>
        <w:spacing w:before="120" w:after="120"/>
      </w:pPr>
      <w:r>
        <w:t xml:space="preserve"/>
      </w:r>
    </w:p>
    <w:p>
      <w:pPr>
        <w:pStyle w:val="Heading2"/>
        <w:spacing w:before="280" w:after="120"/>
      </w:pPr>
      <w:r>
        <w:rPr>
          <w:rFonts w:ascii="Arial" w:cs="Arial" w:eastAsia="Arial" w:hAnsi="Arial"/>
          <w:b/>
          <w:bCs/>
          <w:color w:val="2E75B6"/>
          <w:sz w:val="28"/>
          <w:szCs w:val="28"/>
        </w:rPr>
        <w:t xml:space="preserve">7.2.3 Gage R&amp;R Croisé (Crossed Gage R&amp;R) – Méthode ANOVA</w:t>
      </w:r>
    </w:p>
    <w:p>
      <w:pPr>
        <w:spacing w:before="80" w:after="80"/>
      </w:pPr>
      <w:r>
        <w:rPr>
          <w:rFonts w:ascii="Arial" w:cs="Arial" w:eastAsia="Arial" w:hAnsi="Arial"/>
          <w:color w:val="1A1A2E"/>
          <w:sz w:val="22"/>
          <w:szCs w:val="22"/>
        </w:rPr>
        <w:t xml:space="preserve">Le Gage R&amp;R croisé est applicable lorsque chaque analyste peut mesurer chaque échantillon. En HPLC, cela correspond à une étude de fidélité intermédiaire structurée.</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Plan expérimental croisé</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800"/>
        <w:gridCol w:w="4060"/>
      </w:tblGrid>
      <w:tr>
        <w:trPr>
          <w:tblHeader/>
        </w:trPr>
        <w:tc>
          <w:tcPr>
            <w:tcW w:type="dxa" w:w="25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Facteur</w:t>
            </w:r>
          </w:p>
        </w:tc>
        <w:tc>
          <w:tcPr>
            <w:tcW w:type="dxa" w:w="2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Niveaux typiques</w:t>
            </w:r>
          </w:p>
        </w:tc>
        <w:tc>
          <w:tcPr>
            <w:tcW w:type="dxa" w:w="40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Justification</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Analystes (A)</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2 à 3 analystes</w:t>
            </w:r>
          </w:p>
        </w:tc>
        <w:tc>
          <w:tcPr>
            <w:tcW w:type="dxa" w:w="4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Représentatif de l'équipe laboratoire</w:t>
            </w:r>
          </w:p>
        </w:tc>
      </w:tr>
      <w:tr>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Échantillons (E)</w:t>
            </w:r>
          </w:p>
        </w:tc>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10 à 15 échantillons différents</w:t>
            </w:r>
          </w:p>
        </w:tc>
        <w:tc>
          <w:tcPr>
            <w:tcW w:type="dxa" w:w="4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Couvrir la plage de teneur (95%-105% spec)</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Réplicats (R)</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2 à 3 mesures/cellule</w:t>
            </w:r>
          </w:p>
        </w:tc>
        <w:tc>
          <w:tcPr>
            <w:tcW w:type="dxa" w:w="4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Estimation de la répétabilité pure</w:t>
            </w:r>
          </w:p>
        </w:tc>
      </w:tr>
      <w:tr>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Jours</w:t>
            </w:r>
          </w:p>
        </w:tc>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2 jours différents (optionnel)</w:t>
            </w:r>
          </w:p>
        </w:tc>
        <w:tc>
          <w:tcPr>
            <w:tcW w:type="dxa" w:w="4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Variabilité inter-jour dans fidélité intermédiaire</w:t>
            </w:r>
          </w:p>
        </w:tc>
      </w:tr>
      <w:tr>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Colonnes</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1 à 2 colonnes (même lot)</w:t>
            </w:r>
          </w:p>
        </w:tc>
        <w:tc>
          <w:tcPr>
            <w:tcW w:type="dxa" w:w="4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Variabilité inter-colonne si pertinent</w:t>
            </w:r>
          </w:p>
        </w:tc>
      </w:tr>
    </w:tbl>
    <w:p>
      <w:pPr>
        <w:spacing w:before="120" w:after="120"/>
      </w:pPr>
      <w:r>
        <w:t xml:space="preserve"/>
      </w:r>
    </w:p>
    <w:p>
      <w:pPr>
        <w:pStyle w:val="Heading3"/>
        <w:spacing w:before="200" w:after="100"/>
      </w:pPr>
      <w:r>
        <w:rPr>
          <w:rFonts w:ascii="Arial" w:cs="Arial" w:eastAsia="Arial" w:hAnsi="Arial"/>
          <w:b/>
          <w:bCs/>
          <w:color w:val="2874A6"/>
          <w:sz w:val="24"/>
          <w:szCs w:val="24"/>
        </w:rPr>
        <w:t xml:space="preserve">Modèle ANOVA pour Gage R&amp;R croisé</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Y(ijk) = μ + A(i) + E(j) + AE(ij) + ε(ijk)</w:t>
            </w:r>
          </w:p>
          <w:p>
            <w:pPr>
              <w:spacing w:before="80"/>
            </w:pPr>
            <w:r>
              <w:rPr>
                <w:rFonts w:ascii="Arial" w:cs="Arial" w:eastAsia="Arial" w:hAnsi="Arial"/>
                <w:i/>
                <w:iCs/>
                <w:color w:val="5D6D7E"/>
                <w:sz w:val="20"/>
                <w:szCs w:val="20"/>
              </w:rPr>
              <w:t xml:space="preserve">Modèle linéaire : μ=moyenne générale, A=effet analyste, E=effet échantillon, AE=interaction, ε=erreur résiduelle</w:t>
            </w:r>
          </w:p>
        </w:tc>
      </w:tr>
    </w:tbl>
    <w:p>
      <w:pPr>
        <w:spacing w:before="100" w:after="120"/>
      </w:pPr>
      <w:r>
        <w:t xml:space="preserve"/>
      </w:r>
    </w:p>
    <w:p>
      <w:pPr>
        <w:spacing w:before="80" w:after="80"/>
      </w:pPr>
      <w:r>
        <w:rPr>
          <w:rFonts w:ascii="Arial" w:cs="Arial" w:eastAsia="Arial" w:hAnsi="Arial"/>
          <w:color w:val="1A1A2E"/>
          <w:sz w:val="22"/>
          <w:szCs w:val="22"/>
        </w:rPr>
        <w:t xml:space="preserve">Le tableau ANOVA décompose les sources de variation et permet d'estimer les composantes de variance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800"/>
        <w:gridCol w:w="1600"/>
        <w:gridCol w:w="2160"/>
        <w:gridCol w:w="1000"/>
      </w:tblGrid>
      <w:tr>
        <w:trPr>
          <w:tblHeader/>
        </w:trPr>
        <w:tc>
          <w:tcPr>
            <w:tcW w:type="dxa" w:w="2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Source</w:t>
            </w:r>
          </w:p>
        </w:tc>
        <w:tc>
          <w:tcPr>
            <w:tcW w:type="dxa" w:w="1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Sommes des carrés</w:t>
            </w:r>
          </w:p>
        </w:tc>
        <w:tc>
          <w:tcPr>
            <w:tcW w:type="dxa" w:w="1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Degrés de liberté</w:t>
            </w:r>
          </w:p>
        </w:tc>
        <w:tc>
          <w:tcPr>
            <w:tcW w:type="dxa" w:w="21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Carré moyen</w:t>
            </w:r>
          </w:p>
        </w:tc>
        <w:tc>
          <w:tcPr>
            <w:tcW w:type="dxa" w:w="1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F observé</w:t>
            </w:r>
          </w:p>
        </w:tc>
      </w:tr>
      <w:tr>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Analystes (A)</w:t>
            </w:r>
          </w:p>
        </w:tc>
        <w:tc>
          <w:tcPr>
            <w:tcW w:type="dxa" w:w="1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SCa</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a-1</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CMa = SCa/(a-1)</w:t>
            </w:r>
          </w:p>
        </w:tc>
        <w:tc>
          <w:tcPr>
            <w:tcW w:type="dxa" w:w="1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CMa/CMae</w:t>
            </w:r>
          </w:p>
        </w:tc>
      </w:tr>
      <w:tr>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Échantillons (E)</w:t>
            </w:r>
          </w:p>
        </w:tc>
        <w:tc>
          <w:tcPr>
            <w:tcW w:type="dxa" w:w="1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SCe</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e-1</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CMe = SCe/(e-1)</w:t>
            </w:r>
          </w:p>
        </w:tc>
        <w:tc>
          <w:tcPr>
            <w:tcW w:type="dxa" w:w="1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CMe/CMae</w:t>
            </w:r>
          </w:p>
        </w:tc>
      </w:tr>
      <w:tr>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Interaction A×E</w:t>
            </w:r>
          </w:p>
        </w:tc>
        <w:tc>
          <w:tcPr>
            <w:tcW w:type="dxa" w:w="1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SCae</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(a-1)(e-1)</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CMae = SCae/(a-1)(e-1)</w:t>
            </w:r>
          </w:p>
        </w:tc>
        <w:tc>
          <w:tcPr>
            <w:tcW w:type="dxa" w:w="1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CMae/CMres</w:t>
            </w:r>
          </w:p>
        </w:tc>
      </w:tr>
      <w:tr>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Résidu (Répétabilité)</w:t>
            </w:r>
          </w:p>
        </w:tc>
        <w:tc>
          <w:tcPr>
            <w:tcW w:type="dxa" w:w="1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SCres</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ae(r-1)</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CMres = SCres/ae(r-1)</w:t>
            </w:r>
          </w:p>
        </w:tc>
        <w:tc>
          <w:tcPr>
            <w:tcW w:type="dxa" w:w="1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w:t>
            </w:r>
          </w:p>
        </w:tc>
      </w:tr>
      <w:tr>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Total</w:t>
            </w:r>
          </w:p>
        </w:tc>
        <w:tc>
          <w:tcPr>
            <w:tcW w:type="dxa" w:w="1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SCtotal</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aer-1</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w:t>
            </w:r>
          </w:p>
        </w:tc>
        <w:tc>
          <w:tcPr>
            <w:tcW w:type="dxa" w:w="1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w:t>
            </w:r>
          </w:p>
        </w:tc>
      </w:tr>
    </w:tbl>
    <w:p>
      <w:pPr>
        <w:spacing w:before="120" w:after="120"/>
      </w:pPr>
      <w:r>
        <w:t xml:space="preserve"/>
      </w:r>
    </w:p>
    <w:p>
      <w:pPr>
        <w:pStyle w:val="Heading3"/>
        <w:spacing w:before="200" w:after="100"/>
      </w:pPr>
      <w:r>
        <w:rPr>
          <w:rFonts w:ascii="Arial" w:cs="Arial" w:eastAsia="Arial" w:hAnsi="Arial"/>
          <w:b/>
          <w:bCs/>
          <w:color w:val="2874A6"/>
          <w:sz w:val="24"/>
          <w:szCs w:val="24"/>
        </w:rPr>
        <w:t xml:space="preserve">Estimation des composantes de variance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σ²Répétabilité = CMrésidu</w:t>
            </w:r>
          </w:p>
          <w:p>
            <w:pPr>
              <w:spacing w:before="80"/>
            </w:pPr>
            <w:r>
              <w:rPr>
                <w:rFonts w:ascii="Arial" w:cs="Arial" w:eastAsia="Arial" w:hAnsi="Arial"/>
                <w:i/>
                <w:iCs/>
                <w:color w:val="5D6D7E"/>
                <w:sz w:val="20"/>
                <w:szCs w:val="20"/>
              </w:rPr>
              <w:t xml:space="preserve">Variance de répétabilité (Repeatability) = Carré moyen résiduel</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σ²Analyste = (CMa - CMae) / (e × r)  [si F analyste significatif]</w:t>
            </w:r>
          </w:p>
          <w:p>
            <w:pPr>
              <w:spacing w:before="80"/>
            </w:pPr>
            <w:r>
              <w:rPr>
                <w:rFonts w:ascii="Arial" w:cs="Arial" w:eastAsia="Arial" w:hAnsi="Arial"/>
                <w:i/>
                <w:iCs/>
                <w:color w:val="5D6D7E"/>
                <w:sz w:val="20"/>
                <w:szCs w:val="20"/>
              </w:rPr>
              <w:t xml:space="preserve">Composante de variance due à l'analyste</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σ²Interaction = (CMae - CMres) / r  [si F interaction significatif]</w:t>
            </w:r>
          </w:p>
          <w:p>
            <w:pPr>
              <w:spacing w:before="80"/>
            </w:pPr>
            <w:r>
              <w:rPr>
                <w:rFonts w:ascii="Arial" w:cs="Arial" w:eastAsia="Arial" w:hAnsi="Arial"/>
                <w:i/>
                <w:iCs/>
                <w:color w:val="5D6D7E"/>
                <w:sz w:val="20"/>
                <w:szCs w:val="20"/>
              </w:rPr>
              <w:t xml:space="preserve">Composante de variance de l'interaction Analyste × Échantillon</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σ²Reproductibilité = σ²Analyste + σ²Interaction</w:t>
            </w:r>
          </w:p>
          <w:p>
            <w:pPr>
              <w:spacing w:before="80"/>
            </w:pPr>
            <w:r>
              <w:rPr>
                <w:rFonts w:ascii="Arial" w:cs="Arial" w:eastAsia="Arial" w:hAnsi="Arial"/>
                <w:i/>
                <w:iCs/>
                <w:color w:val="5D6D7E"/>
                <w:sz w:val="20"/>
                <w:szCs w:val="20"/>
              </w:rPr>
              <w:t xml:space="preserve">Variance de reproductibilité totale</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σ²GRR = σ²Répétabilité + σ²Reproductibilité</w:t>
            </w:r>
          </w:p>
          <w:p>
            <w:pPr>
              <w:spacing w:before="80"/>
            </w:pPr>
            <w:r>
              <w:rPr>
                <w:rFonts w:ascii="Arial" w:cs="Arial" w:eastAsia="Arial" w:hAnsi="Arial"/>
                <w:i/>
                <w:iCs/>
                <w:color w:val="5D6D7E"/>
                <w:sz w:val="20"/>
                <w:szCs w:val="20"/>
              </w:rPr>
              <w:t xml:space="preserve">Variance totale du système de mesure (Gage R&amp;R)</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7.2.4 Gage R&amp;R Emboîté (Nested Gage R&amp;R)</w:t>
      </w:r>
    </w:p>
    <w:p>
      <w:pPr>
        <w:spacing w:before="80" w:after="80"/>
      </w:pPr>
      <w:r>
        <w:rPr>
          <w:rFonts w:ascii="Arial" w:cs="Arial" w:eastAsia="Arial" w:hAnsi="Arial"/>
          <w:color w:val="1A1A2E"/>
          <w:sz w:val="22"/>
          <w:szCs w:val="22"/>
        </w:rPr>
        <w:t xml:space="preserve">Le Gage R&amp;R emboîté est requis lorsque chaque analyste mesure des échantillons DIFFÉRENTS — typiquement en HPLC quand les préparations d'échantillons sont propres à chaque analyste (non réutilisables) ou lors de transferts de méthode inter-sites.</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180"/>
        <w:gridCol w:w="3180"/>
      </w:tblGrid>
      <w:tr>
        <w:trPr>
          <w:tblHeader/>
        </w:trPr>
        <w:tc>
          <w:tcPr>
            <w:tcW w:type="dxa" w:w="3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Aspect</w:t>
            </w:r>
          </w:p>
        </w:tc>
        <w:tc>
          <w:tcPr>
            <w:tcW w:type="dxa" w:w="318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Croisé (Crossed)</w:t>
            </w:r>
          </w:p>
        </w:tc>
        <w:tc>
          <w:tcPr>
            <w:tcW w:type="dxa" w:w="318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Emboîté (Nested)</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Même échantillon mesuré par tous</w:t>
            </w:r>
          </w:p>
        </w:tc>
        <w:tc>
          <w:tcPr>
            <w:tcW w:type="dxa" w:w="318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Oui</w:t>
            </w:r>
          </w:p>
        </w:tc>
        <w:tc>
          <w:tcPr>
            <w:tcW w:type="dxa" w:w="318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Non</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Applicable si échantillon dégradable</w:t>
            </w:r>
          </w:p>
        </w:tc>
        <w:tc>
          <w:tcPr>
            <w:tcW w:type="dxa" w:w="318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Non</w:t>
            </w:r>
          </w:p>
        </w:tc>
        <w:tc>
          <w:tcPr>
            <w:tcW w:type="dxa" w:w="318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Oui</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Interaction A×E estimable</w:t>
            </w:r>
          </w:p>
        </w:tc>
        <w:tc>
          <w:tcPr>
            <w:tcW w:type="dxa" w:w="318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Oui (séparément)</w:t>
            </w:r>
          </w:p>
        </w:tc>
        <w:tc>
          <w:tcPr>
            <w:tcW w:type="dxa" w:w="318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Non (confondue avec reproductibilité)</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Cas d'usage HPLC</w:t>
            </w:r>
          </w:p>
        </w:tc>
        <w:tc>
          <w:tcPr>
            <w:tcW w:type="dxa" w:w="318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Fidélité intermédiaire méthode standard</w:t>
            </w:r>
          </w:p>
        </w:tc>
        <w:tc>
          <w:tcPr>
            <w:tcW w:type="dxa" w:w="318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Transfert de méthode, études de robustesse</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Plan expérimental</w:t>
            </w:r>
          </w:p>
        </w:tc>
        <w:tc>
          <w:tcPr>
            <w:tcW w:type="dxa" w:w="318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 analystes × e échantillons × r réplicats</w:t>
            </w:r>
          </w:p>
        </w:tc>
        <w:tc>
          <w:tcPr>
            <w:tcW w:type="dxa" w:w="318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 analystes × e échantillons/analyste × r réplicats</w:t>
            </w:r>
          </w:p>
        </w:tc>
      </w:tr>
    </w:tbl>
    <w:p>
      <w:pPr>
        <w:spacing w:before="120" w:after="120"/>
      </w:pPr>
      <w:r>
        <w:t xml:space="preserve"/>
      </w:r>
    </w:p>
    <w:p>
      <w:pPr>
        <w:pStyle w:val="Heading3"/>
        <w:spacing w:before="200" w:after="100"/>
      </w:pPr>
      <w:r>
        <w:rPr>
          <w:rFonts w:ascii="Arial" w:cs="Arial" w:eastAsia="Arial" w:hAnsi="Arial"/>
          <w:b/>
          <w:bCs/>
          <w:color w:val="2874A6"/>
          <w:sz w:val="24"/>
          <w:szCs w:val="24"/>
        </w:rPr>
        <w:t xml:space="preserve">Modèle ANOVA emboîté</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Y(ijk) = μ + A(i) + E(j:i) + ε(ijk)</w:t>
            </w:r>
          </w:p>
          <w:p>
            <w:pPr>
              <w:spacing w:before="80"/>
            </w:pPr>
            <w:r>
              <w:rPr>
                <w:rFonts w:ascii="Arial" w:cs="Arial" w:eastAsia="Arial" w:hAnsi="Arial"/>
                <w:i/>
                <w:iCs/>
                <w:color w:val="5D6D7E"/>
                <w:sz w:val="20"/>
                <w:szCs w:val="20"/>
              </w:rPr>
              <w:t xml:space="preserve">E(j:i) = échantillons emboîtés dans les analystes</w:t>
            </w:r>
          </w:p>
        </w:tc>
      </w:tr>
    </w:tbl>
    <w:p>
      <w:pPr>
        <w:spacing w:before="80" w:after="120"/>
      </w:pPr>
      <w:r>
        <w:t xml:space="preserve"/>
      </w:r>
    </w:p>
    <w:p>
      <w:pPr>
        <w:spacing w:before="80" w:after="80"/>
      </w:pPr>
      <w:r>
        <w:rPr>
          <w:rFonts w:ascii="Arial" w:cs="Arial" w:eastAsia="Arial" w:hAnsi="Arial"/>
          <w:color w:val="1A1A2E"/>
          <w:sz w:val="22"/>
          <w:szCs w:val="22"/>
        </w:rPr>
        <w:t xml:space="preserve">Dans ce modèle, l'effet échantillon E est emboîté dans l'analyste A. La variabilité due à l'analyste englobe aussi l'interaction et la variabilité de préparation propre à chaque analyste.</w:t>
      </w:r>
    </w:p>
    <w:p>
      <w:pPr>
        <w:spacing w:before="200" w:after="120"/>
      </w:pPr>
      <w:r>
        <w:t xml:space="preserve"/>
      </w:r>
    </w:p>
    <w:p>
      <w:r>
        <w:br w:type="page"/>
      </w:r>
    </w:p>
    <w:p>
      <w:pPr>
        <w:pStyle w:val="Heading1"/>
        <w:pBdr>
          <w:bottom w:val="single" w:color="2E75B6" w:sz="8" w:space="4"/>
        </w:pBdr>
        <w:spacing w:before="360" w:after="180"/>
      </w:pPr>
      <w:r>
        <w:rPr>
          <w:rFonts w:ascii="Arial" w:cs="Arial" w:eastAsia="Arial" w:hAnsi="Arial"/>
          <w:b/>
          <w:bCs/>
          <w:color w:val="1F4E79"/>
          <w:sz w:val="32"/>
          <w:szCs w:val="32"/>
        </w:rPr>
        <w:t xml:space="preserve">7.3 Évaluation de la justesse et de la linéarité</w:t>
      </w:r>
    </w:p>
    <w:p>
      <w:pPr>
        <w:pStyle w:val="Heading2"/>
        <w:spacing w:before="280" w:after="120"/>
      </w:pPr>
      <w:r>
        <w:rPr>
          <w:rFonts w:ascii="Arial" w:cs="Arial" w:eastAsia="Arial" w:hAnsi="Arial"/>
          <w:b/>
          <w:bCs/>
          <w:color w:val="2E75B6"/>
          <w:sz w:val="28"/>
          <w:szCs w:val="28"/>
        </w:rPr>
        <w:t xml:space="preserve">7.3.1 Justesse du système de mesure HPLC</w:t>
      </w:r>
    </w:p>
    <w:p>
      <w:pPr>
        <w:spacing w:before="80" w:after="80"/>
      </w:pPr>
      <w:r>
        <w:rPr>
          <w:rFonts w:ascii="Arial" w:cs="Arial" w:eastAsia="Arial" w:hAnsi="Arial"/>
          <w:color w:val="1A1A2E"/>
          <w:sz w:val="22"/>
          <w:szCs w:val="22"/>
        </w:rPr>
        <w:t xml:space="preserve">La justesse (accuracy/trueness selon ISO 5725) évalue l'accord entre la valeur mesurée et la valeur vraie (ou de référence). En HPLC pharmaceutique, elle est évaluée par le biais (bias) systématique.</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Estimation du biais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Biais = X̄mesuré - Xréférence   ou   % Biais = [(X̄mesuré - Xréférence) / Xréférence] × 100</w:t>
            </w:r>
          </w:p>
          <w:p>
            <w:pPr>
              <w:spacing w:before="80"/>
            </w:pPr>
            <w:r>
              <w:rPr>
                <w:rFonts w:ascii="Arial" w:cs="Arial" w:eastAsia="Arial" w:hAnsi="Arial"/>
                <w:i/>
                <w:iCs/>
                <w:color w:val="5D6D7E"/>
                <w:sz w:val="20"/>
                <w:szCs w:val="20"/>
              </w:rPr>
              <w:t xml:space="preserve">Biais absolu et relatif — Xréférence = valeur assignée du matériau de référence certifié (MRC)</w:t>
            </w:r>
          </w:p>
        </w:tc>
      </w:tr>
    </w:tbl>
    <w:p>
      <w:pPr>
        <w:spacing w:before="80" w:after="120"/>
      </w:pPr>
      <w:r>
        <w:t xml:space="preserve"/>
      </w:r>
    </w:p>
    <w:p>
      <w:pPr>
        <w:spacing w:before="80" w:after="80"/>
      </w:pPr>
      <w:r>
        <w:rPr>
          <w:rFonts w:ascii="Arial" w:cs="Arial" w:eastAsia="Arial" w:hAnsi="Arial"/>
          <w:color w:val="1A1A2E"/>
          <w:sz w:val="22"/>
          <w:szCs w:val="22"/>
        </w:rPr>
        <w:t xml:space="preserve">Protocole d'évaluation de la justesse en HPLC :</w:t>
      </w:r>
    </w:p>
    <w:p>
      <w:pPr>
        <w:pStyle w:val="ListParagraph"/>
        <w:numPr>
          <w:ilvl w:val="0"/>
          <w:numId w:val="3"/>
        </w:numPr>
        <w:spacing w:before="60" w:after="60"/>
      </w:pPr>
      <w:r>
        <w:rPr>
          <w:rFonts w:ascii="Arial" w:cs="Arial" w:eastAsia="Arial" w:hAnsi="Arial"/>
          <w:color w:val="1A1A2E"/>
          <w:sz w:val="22"/>
          <w:szCs w:val="22"/>
        </w:rPr>
        <w:t xml:space="preserve">Utiliser un Matériau de Référence Certifié (MRC) tracé à une pharmacopée (USP, EP, JP) ou un standard primaire interne certifié</w:t>
      </w:r>
    </w:p>
    <w:p>
      <w:pPr>
        <w:pStyle w:val="ListParagraph"/>
        <w:numPr>
          <w:ilvl w:val="0"/>
          <w:numId w:val="3"/>
        </w:numPr>
        <w:spacing w:before="60" w:after="60"/>
      </w:pPr>
      <w:r>
        <w:rPr>
          <w:rFonts w:ascii="Arial" w:cs="Arial" w:eastAsia="Arial" w:hAnsi="Arial"/>
          <w:color w:val="1A1A2E"/>
          <w:sz w:val="22"/>
          <w:szCs w:val="22"/>
        </w:rPr>
        <w:t xml:space="preserve">Préparer au minimum 3 niveaux de concentration (80%, 100%, 120% de la concentration nominale)</w:t>
      </w:r>
    </w:p>
    <w:p>
      <w:pPr>
        <w:pStyle w:val="ListParagraph"/>
        <w:numPr>
          <w:ilvl w:val="0"/>
          <w:numId w:val="3"/>
        </w:numPr>
        <w:spacing w:before="60" w:after="60"/>
      </w:pPr>
      <w:r>
        <w:rPr>
          <w:rFonts w:ascii="Arial" w:cs="Arial" w:eastAsia="Arial" w:hAnsi="Arial"/>
          <w:color w:val="1A1A2E"/>
          <w:sz w:val="22"/>
          <w:szCs w:val="22"/>
        </w:rPr>
        <w:t xml:space="preserve">Réaliser 3 préparations indépendantes par niveau</w:t>
      </w:r>
    </w:p>
    <w:p>
      <w:pPr>
        <w:pStyle w:val="ListParagraph"/>
        <w:numPr>
          <w:ilvl w:val="0"/>
          <w:numId w:val="3"/>
        </w:numPr>
        <w:spacing w:before="60" w:after="60"/>
      </w:pPr>
      <w:r>
        <w:rPr>
          <w:rFonts w:ascii="Arial" w:cs="Arial" w:eastAsia="Arial" w:hAnsi="Arial"/>
          <w:color w:val="1A1A2E"/>
          <w:sz w:val="22"/>
          <w:szCs w:val="22"/>
        </w:rPr>
        <w:t xml:space="preserve">Calculer le % de recouvrement pour chaque niveau</w:t>
      </w:r>
    </w:p>
    <w:p>
      <w:pPr>
        <w:pStyle w:val="ListParagraph"/>
        <w:numPr>
          <w:ilvl w:val="0"/>
          <w:numId w:val="3"/>
        </w:numPr>
        <w:spacing w:before="60" w:after="60"/>
      </w:pPr>
      <w:r>
        <w:rPr>
          <w:rFonts w:ascii="Arial" w:cs="Arial" w:eastAsia="Arial" w:hAnsi="Arial"/>
          <w:color w:val="1A1A2E"/>
          <w:sz w:val="22"/>
          <w:szCs w:val="22"/>
        </w:rPr>
        <w:t xml:space="preserve">Tester le biais par test statistique t de Student unilatéral ou par intervalle de confiance</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 Recouvrement = (Concentration trouvée / Concentration théorique) × 100</w:t>
            </w:r>
          </w:p>
          <w:p>
            <w:pPr>
              <w:spacing w:before="80"/>
            </w:pPr>
            <w:r>
              <w:rPr>
                <w:rFonts w:ascii="Arial" w:cs="Arial" w:eastAsia="Arial" w:hAnsi="Arial"/>
                <w:i/>
                <w:iCs/>
                <w:color w:val="5D6D7E"/>
                <w:sz w:val="20"/>
                <w:szCs w:val="20"/>
              </w:rPr>
              <w:t xml:space="preserve">Indicateur principal de justesse — Critère typique : 98,0% - 102,0% pour substance active</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
        <w:gridCol w:w="9160"/>
      </w:tblGrid>
      <w:tr>
        <w:tc>
          <w:tcPr>
            <w:tcBorders>
              <w:top w:val="single" w:color="D35400" w:sz="1"/>
              <w:left w:val="single" w:color="D35400" w:sz="1"/>
              <w:bottom w:val="single" w:color="D35400" w:sz="1"/>
              <w:right w:val="single" w:color="D35400" w:sz="1"/>
            </w:tcBorders>
            <w:shd w:fill="D35400" w:val="clear"/>
            <w:tcMar>
              <w:top w:type="dxa" w:w="80"/>
              <w:left w:type="dxa" w:w="100"/>
              <w:bottom w:type="dxa" w:w="80"/>
              <w:right w:type="dxa" w:w="100"/>
            </w:tcMar>
            <w:vAlign w:val="center"/>
          </w:tcPr>
          <w:p>
            <w:pPr>
              <w:jc w:val="center"/>
            </w:pPr>
            <w:r>
              <w:rPr>
                <w:rFonts w:ascii="Arial" w:cs="Arial" w:eastAsia="Arial" w:hAnsi="Arial"/>
                <w:b/>
                <w:bCs/>
                <w:color w:val="FFFFFF"/>
                <w:sz w:val="26"/>
                <w:szCs w:val="26"/>
              </w:rPr>
              <w:t xml:space="preserve">!</w:t>
            </w:r>
          </w:p>
        </w:tc>
        <w:tc>
          <w:tcPr>
            <w:tcBorders>
              <w:top w:val="single" w:color="D35400" w:sz="1"/>
              <w:left w:val="single" w:color="D35400" w:sz="1"/>
              <w:bottom w:val="single" w:color="D35400" w:sz="1"/>
              <w:right w:val="single" w:color="D35400" w:sz="1"/>
            </w:tcBorders>
            <w:shd w:fill="FDEBD0" w:val="clear"/>
            <w:tcMar>
              <w:top w:type="dxa" w:w="80"/>
              <w:left w:type="dxa" w:w="160"/>
              <w:bottom w:type="dxa" w:w="80"/>
              <w:right w:type="dxa" w:w="160"/>
            </w:tcMar>
          </w:tcPr>
          <w:p>
            <w:r>
              <w:rPr>
                <w:rFonts w:ascii="Arial" w:cs="Arial" w:eastAsia="Arial" w:hAnsi="Arial"/>
                <w:color w:val="1A1A2E"/>
                <w:sz w:val="21"/>
                <w:szCs w:val="21"/>
              </w:rPr>
              <w:t xml:space="preserve">Distinction importante : Un biais systématique constant peut être corrigé par l'utilisation d'un étalon interne ou par un facteur de correction. Un biais proportionnel (augmentant avec la concentration) indique un problème de réponse du détecteur ou de préparation. Le MSA doit distinguer ces deux types.</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7.3.2 Linéarité du système de mesure</w:t>
      </w:r>
    </w:p>
    <w:p>
      <w:pPr>
        <w:spacing w:before="80" w:after="80"/>
      </w:pPr>
      <w:r>
        <w:rPr>
          <w:rFonts w:ascii="Arial" w:cs="Arial" w:eastAsia="Arial" w:hAnsi="Arial"/>
          <w:color w:val="1A1A2E"/>
          <w:sz w:val="22"/>
          <w:szCs w:val="22"/>
        </w:rPr>
        <w:t xml:space="preserve">La linéarité du système de mesure évalue si le biais reste constant sur toute la plage de mesure. Concept distinct de la linéarité de méthode (ICH Q2), elle examine si le biais lui-même varie en fonction du niveau de mesure.</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Étude de linéarité du biais (Linearity of Measurement System)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4060"/>
        <w:gridCol w:w="4500"/>
      </w:tblGrid>
      <w:tr>
        <w:trPr>
          <w:tblHeader/>
        </w:trPr>
        <w:tc>
          <w:tcPr>
            <w:tcW w:type="dxa" w:w="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Étape</w:t>
            </w:r>
          </w:p>
        </w:tc>
        <w:tc>
          <w:tcPr>
            <w:tcW w:type="dxa" w:w="40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Action</w:t>
            </w:r>
          </w:p>
        </w:tc>
        <w:tc>
          <w:tcPr>
            <w:tcW w:type="dxa" w:w="45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Outil statistique</w:t>
            </w:r>
          </w:p>
        </w:tc>
      </w:tr>
      <w:tr>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1. Plan expérimental</w:t>
            </w:r>
          </w:p>
        </w:tc>
        <w:tc>
          <w:tcPr>
            <w:tcW w:type="dxa" w:w="4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Sélectionner 5 niveaux couvrant la plage de travail (ex: 50%-150%)</w:t>
            </w:r>
          </w:p>
        </w:tc>
        <w:tc>
          <w:tcPr>
            <w:tcW w:type="dxa" w:w="4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Répartition uniforme ou selon distribution d'intérêt</w:t>
            </w:r>
          </w:p>
        </w:tc>
      </w:tr>
      <w:tr>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2. Mesures de référence</w:t>
            </w:r>
          </w:p>
        </w:tc>
        <w:tc>
          <w:tcPr>
            <w:tcW w:type="dxa" w:w="4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Mesurer chaque niveau avec méthode de référence (ex: gravimétrie)</w:t>
            </w:r>
          </w:p>
        </w:tc>
        <w:tc>
          <w:tcPr>
            <w:tcW w:type="dxa" w:w="4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Calcul de la valeur vraie assignée</w:t>
            </w:r>
          </w:p>
        </w:tc>
      </w:tr>
      <w:tr>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3. Mesures HPLC</w:t>
            </w:r>
          </w:p>
        </w:tc>
        <w:tc>
          <w:tcPr>
            <w:tcW w:type="dxa" w:w="4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k réplicats par niveau avec système de mesure étudié</w:t>
            </w:r>
          </w:p>
        </w:tc>
        <w:tc>
          <w:tcPr>
            <w:tcW w:type="dxa" w:w="4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k ≥ 3 par niveau, randomisation</w:t>
            </w:r>
          </w:p>
        </w:tc>
      </w:tr>
      <w:tr>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4. Calcul des biais</w:t>
            </w:r>
          </w:p>
        </w:tc>
        <w:tc>
          <w:tcPr>
            <w:tcW w:type="dxa" w:w="4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Biais(i) = X̄HPLC(i) - Xréf(i) par niveau</w:t>
            </w:r>
          </w:p>
        </w:tc>
        <w:tc>
          <w:tcPr>
            <w:tcW w:type="dxa" w:w="4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Biais moyen et IC 95%</w:t>
            </w:r>
          </w:p>
        </w:tc>
      </w:tr>
      <w:tr>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5. Régression du biais</w:t>
            </w:r>
          </w:p>
        </w:tc>
        <w:tc>
          <w:tcPr>
            <w:tcW w:type="dxa" w:w="4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Régresser Biais(i) vs Xréf(i)</w:t>
            </w:r>
          </w:p>
        </w:tc>
        <w:tc>
          <w:tcPr>
            <w:tcW w:type="dxa" w:w="4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Régression linéaire simple</w:t>
            </w:r>
          </w:p>
        </w:tc>
      </w:tr>
      <w:tr>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6. Test de linéarité</w:t>
            </w:r>
          </w:p>
        </w:tc>
        <w:tc>
          <w:tcPr>
            <w:tcW w:type="dxa" w:w="4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Tester H0 : pente = 0 et intercept = 0</w:t>
            </w:r>
          </w:p>
        </w:tc>
        <w:tc>
          <w:tcPr>
            <w:tcW w:type="dxa" w:w="4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Test F global, test t coefficients</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Modèle : Biais(x) = b₀ + b₁ × x   avec H₀ : b₀ = 0  ET  b₁ = 0</w:t>
            </w:r>
          </w:p>
          <w:p>
            <w:pPr>
              <w:spacing w:before="80"/>
            </w:pPr>
            <w:r>
              <w:rPr>
                <w:rFonts w:ascii="Arial" w:cs="Arial" w:eastAsia="Arial" w:hAnsi="Arial"/>
                <w:i/>
                <w:iCs/>
                <w:color w:val="5D6D7E"/>
                <w:sz w:val="20"/>
                <w:szCs w:val="20"/>
              </w:rPr>
              <w:t xml:space="preserve">Si H₀ non rejetée : biais constant (acceptable) — Si H₀ rejetée : biais variable (problème de linéarité)</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7.3.3 Évaluation graphique : diagramme de Youden</w:t>
      </w:r>
    </w:p>
    <w:p>
      <w:pPr>
        <w:spacing w:before="80" w:after="80"/>
      </w:pPr>
      <w:r>
        <w:rPr>
          <w:rFonts w:ascii="Arial" w:cs="Arial" w:eastAsia="Arial" w:hAnsi="Arial"/>
          <w:color w:val="1A1A2E"/>
          <w:sz w:val="22"/>
          <w:szCs w:val="22"/>
        </w:rPr>
        <w:t xml:space="preserve">Le diagramme de Youden est un outil puissant pour visualiser simultanément la justesse et la fidélité. Il permet de distinguer les erreurs systématiques (biais) des erreurs aléatoires (imprécision).</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2874A6" w:val="clear"/>
            <w:tcMar>
              <w:top w:type="dxa" w:w="100"/>
              <w:left w:type="dxa" w:w="160"/>
              <w:bottom w:type="dxa" w:w="100"/>
              <w:right w:type="dxa" w:w="160"/>
            </w:tcMar>
          </w:tcPr>
          <w:p>
            <w:r>
              <w:rPr>
                <w:rFonts w:ascii="Arial" w:cs="Arial" w:eastAsia="Arial" w:hAnsi="Arial"/>
                <w:b/>
                <w:bCs/>
                <w:color w:val="FFFFFF"/>
                <w:sz w:val="22"/>
                <w:szCs w:val="22"/>
              </w:rPr>
              <w:t xml:space="preserve">Construction du diagramme de Youden</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1. Axe X : Résultats de la Méthode 1 (ex: analyste A ou labo 1)</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2. Axe Y : Résultats de la Méthode 2 (ex: analyste B ou labo 2)</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3. Tracer le cercle d'acceptation centré sur la valeur vraie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4. Tracer la droite d'identité (pente = 1, intercept = 0)</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Interprétation :</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 Points sur la diagonale, loin du centre : biais systématique similaire → problème de justesse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 Points dispersés autour du centre : erreur aléatoire → problème de fidélité</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 Points hors du cercle sur la diagonale : biais + imprécision → problème combiné</w:t>
            </w:r>
          </w:p>
        </w:tc>
      </w:tr>
    </w:tbl>
    <w:p>
      <w:pPr>
        <w:spacing w:before="200" w:after="120"/>
      </w:pPr>
      <w:r>
        <w:t xml:space="preserve"/>
      </w:r>
    </w:p>
    <w:p>
      <w:r>
        <w:br w:type="page"/>
      </w:r>
    </w:p>
    <w:p>
      <w:pPr>
        <w:pStyle w:val="Heading1"/>
        <w:pBdr>
          <w:bottom w:val="single" w:color="2E75B6" w:sz="8" w:space="4"/>
        </w:pBdr>
        <w:spacing w:before="360" w:after="180"/>
      </w:pPr>
      <w:r>
        <w:rPr>
          <w:rFonts w:ascii="Arial" w:cs="Arial" w:eastAsia="Arial" w:hAnsi="Arial"/>
          <w:b/>
          <w:bCs/>
          <w:color w:val="1F4E79"/>
          <w:sz w:val="32"/>
          <w:szCs w:val="32"/>
        </w:rPr>
        <w:t xml:space="preserve">7.4 Critères d'acceptation MSA dans le contexte réglementaire</w:t>
      </w:r>
    </w:p>
    <w:p>
      <w:pPr>
        <w:pStyle w:val="Heading2"/>
        <w:spacing w:before="280" w:after="120"/>
      </w:pPr>
      <w:r>
        <w:rPr>
          <w:rFonts w:ascii="Arial" w:cs="Arial" w:eastAsia="Arial" w:hAnsi="Arial"/>
          <w:b/>
          <w:bCs/>
          <w:color w:val="2E75B6"/>
          <w:sz w:val="28"/>
          <w:szCs w:val="28"/>
        </w:rPr>
        <w:t xml:space="preserve">7.4.1 Les trois indicateurs clés MSA</w:t>
      </w:r>
    </w:p>
    <w:p>
      <w:pPr>
        <w:spacing w:before="80" w:after="80"/>
      </w:pPr>
      <w:r>
        <w:rPr>
          <w:rFonts w:ascii="Arial" w:cs="Arial" w:eastAsia="Arial" w:hAnsi="Arial"/>
          <w:color w:val="1A1A2E"/>
          <w:sz w:val="22"/>
          <w:szCs w:val="22"/>
        </w:rPr>
        <w:t xml:space="preserve">L'interprétation d'une étude Gage R&amp;R repose sur trois indicateurs complémentaires, chacun apportant une information différente sur la qualité du système de mesure :</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Indicateur 1 : % Contribution (% of Total Variation)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%Contribution GRR = (σ²GRR / σ²Total) × 100</w:t>
            </w:r>
          </w:p>
          <w:p>
            <w:pPr>
              <w:spacing w:before="80"/>
            </w:pPr>
            <w:r>
              <w:rPr>
                <w:rFonts w:ascii="Arial" w:cs="Arial" w:eastAsia="Arial" w:hAnsi="Arial"/>
                <w:i/>
                <w:iCs/>
                <w:color w:val="5D6D7E"/>
                <w:sz w:val="20"/>
                <w:szCs w:val="20"/>
              </w:rPr>
              <w:t xml:space="preserve">Part de la variabilité totale expliquée par le système de mesure</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600"/>
        <w:gridCol w:w="4360"/>
      </w:tblGrid>
      <w:tr>
        <w:trPr>
          <w:tblHeader/>
        </w:trPr>
        <w:tc>
          <w:tcPr>
            <w:tcW w:type="dxa" w:w="24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%Contribution GRR</w:t>
            </w:r>
          </w:p>
        </w:tc>
        <w:tc>
          <w:tcPr>
            <w:tcW w:type="dxa" w:w="2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Décision MSA (AIAG)</w:t>
            </w:r>
          </w:p>
        </w:tc>
        <w:tc>
          <w:tcPr>
            <w:tcW w:type="dxa" w:w="43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Interprétation laboratoire pharmaceutique</w:t>
            </w:r>
          </w:p>
        </w:tc>
      </w:tr>
      <w:tr>
        <w:tc>
          <w:tcPr>
            <w:tcW w:type="dxa" w:w="2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&lt; 10%</w:t>
            </w:r>
          </w:p>
        </w:tc>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Acceptable</w:t>
            </w:r>
          </w:p>
        </w:tc>
        <w:tc>
          <w:tcPr>
            <w:tcW w:type="dxa" w:w="4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Système de mesure acceptable — Variabilité dominée par le procédé/produit</w:t>
            </w:r>
          </w:p>
        </w:tc>
      </w:tr>
      <w:tr>
        <w:tc>
          <w:tcPr>
            <w:tcW w:type="dxa" w:w="24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10% - 30%</w:t>
            </w:r>
          </w:p>
        </w:tc>
        <w:tc>
          <w:tcPr>
            <w:tcW w:type="dxa" w:w="2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Marginalement acceptable</w:t>
            </w:r>
          </w:p>
        </w:tc>
        <w:tc>
          <w:tcPr>
            <w:tcW w:type="dxa" w:w="43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Acceptable sous réserve d'évaluation du risque décisionnel — Amélioration souhaitée</w:t>
            </w:r>
          </w:p>
        </w:tc>
      </w:tr>
      <w:tr>
        <w:tc>
          <w:tcPr>
            <w:tcW w:type="dxa" w:w="2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&gt; 30%</w:t>
            </w:r>
          </w:p>
        </w:tc>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Inacceptable</w:t>
            </w:r>
          </w:p>
        </w:tc>
        <w:tc>
          <w:tcPr>
            <w:tcW w:type="dxa" w:w="4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Système de mesure inadéquat — Investigation et amélioration obligatoires</w:t>
            </w:r>
          </w:p>
        </w:tc>
      </w:tr>
    </w:tbl>
    <w:p>
      <w:pPr>
        <w:spacing w:before="120" w:after="120"/>
      </w:pPr>
      <w:r>
        <w:t xml:space="preserve"/>
      </w:r>
    </w:p>
    <w:p>
      <w:pPr>
        <w:pStyle w:val="Heading3"/>
        <w:spacing w:before="200" w:after="100"/>
      </w:pPr>
      <w:r>
        <w:rPr>
          <w:rFonts w:ascii="Arial" w:cs="Arial" w:eastAsia="Arial" w:hAnsi="Arial"/>
          <w:b/>
          <w:bCs/>
          <w:color w:val="2874A6"/>
          <w:sz w:val="24"/>
          <w:szCs w:val="24"/>
        </w:rPr>
        <w:t xml:space="preserve">Indicateur 2 : ndc (Nombre de Catégories Distinctes)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ndc = 1,41 × (σProcédé / σGRR)   [arrondi à l'entier inférieur]</w:t>
            </w:r>
          </w:p>
          <w:p>
            <w:pPr>
              <w:spacing w:before="80"/>
            </w:pPr>
            <w:r>
              <w:rPr>
                <w:rFonts w:ascii="Arial" w:cs="Arial" w:eastAsia="Arial" w:hAnsi="Arial"/>
                <w:i/>
                <w:iCs/>
                <w:color w:val="5D6D7E"/>
                <w:sz w:val="20"/>
                <w:szCs w:val="20"/>
              </w:rPr>
              <w:t xml:space="preserve">Nombre de catégories distinctes que le système peut différencier de manière fiable</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4000"/>
        <w:gridCol w:w="3960"/>
      </w:tblGrid>
      <w:tr>
        <w:trPr>
          <w:tblHeader/>
        </w:trPr>
        <w:tc>
          <w:tcPr>
            <w:tcW w:type="dxa" w:w="14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ndc</w:t>
            </w:r>
          </w:p>
        </w:tc>
        <w:tc>
          <w:tcPr>
            <w:tcW w:type="dxa" w:w="4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Interprétation</w:t>
            </w:r>
          </w:p>
        </w:tc>
        <w:tc>
          <w:tcPr>
            <w:tcW w:type="dxa" w:w="39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Décision</w:t>
            </w:r>
          </w:p>
        </w:tc>
      </w:tr>
      <w:tr>
        <w:tc>
          <w:tcPr>
            <w:tcW w:type="dxa" w:w="1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5</w:t>
            </w:r>
          </w:p>
        </w:tc>
        <w:tc>
          <w:tcPr>
            <w:tcW w:type="dxa" w:w="4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Système acceptable</w:t>
            </w:r>
          </w:p>
        </w:tc>
        <w:tc>
          <w:tcPr>
            <w:tcW w:type="dxa" w:w="39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Le système peut discriminer ≥ 5 catégories — Contrôle de procédé possible</w:t>
            </w:r>
          </w:p>
        </w:tc>
      </w:tr>
      <w:tr>
        <w:tc>
          <w:tcPr>
            <w:tcW w:type="dxa" w:w="14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3 - 4</w:t>
            </w:r>
          </w:p>
        </w:tc>
        <w:tc>
          <w:tcPr>
            <w:tcW w:type="dxa" w:w="4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Marginalement acceptable</w:t>
            </w:r>
          </w:p>
        </w:tc>
        <w:tc>
          <w:tcPr>
            <w:tcW w:type="dxa" w:w="39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Discrimination grossière possible — Acceptable pour contrôle go/no-go</w:t>
            </w:r>
          </w:p>
        </w:tc>
      </w:tr>
      <w:tr>
        <w:tc>
          <w:tcPr>
            <w:tcW w:type="dxa" w:w="1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1 - 2</w:t>
            </w:r>
          </w:p>
        </w:tc>
        <w:tc>
          <w:tcPr>
            <w:tcW w:type="dxa" w:w="4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Inacceptable</w:t>
            </w:r>
          </w:p>
        </w:tc>
        <w:tc>
          <w:tcPr>
            <w:tcW w:type="dxa" w:w="39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Pas de discrimination réelle — Refondre le système de mesure</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
        <w:gridCol w:w="9160"/>
      </w:tblGrid>
      <w:tr>
        <w:tc>
          <w:tcPr>
            <w:tcBorders>
              <w:top w:val="single" w:color="D35400" w:sz="1"/>
              <w:left w:val="single" w:color="D35400" w:sz="1"/>
              <w:bottom w:val="single" w:color="D35400" w:sz="1"/>
              <w:right w:val="single" w:color="D35400" w:sz="1"/>
            </w:tcBorders>
            <w:shd w:fill="D35400" w:val="clear"/>
            <w:tcMar>
              <w:top w:type="dxa" w:w="80"/>
              <w:left w:type="dxa" w:w="100"/>
              <w:bottom w:type="dxa" w:w="80"/>
              <w:right w:type="dxa" w:w="100"/>
            </w:tcMar>
            <w:vAlign w:val="center"/>
          </w:tcPr>
          <w:p>
            <w:pPr>
              <w:jc w:val="center"/>
            </w:pPr>
            <w:r>
              <w:rPr>
                <w:rFonts w:ascii="Arial" w:cs="Arial" w:eastAsia="Arial" w:hAnsi="Arial"/>
                <w:b/>
                <w:bCs/>
                <w:color w:val="FFFFFF"/>
                <w:sz w:val="26"/>
                <w:szCs w:val="26"/>
              </w:rPr>
              <w:t xml:space="preserve">!</w:t>
            </w:r>
          </w:p>
        </w:tc>
        <w:tc>
          <w:tcPr>
            <w:tcBorders>
              <w:top w:val="single" w:color="D35400" w:sz="1"/>
              <w:left w:val="single" w:color="D35400" w:sz="1"/>
              <w:bottom w:val="single" w:color="D35400" w:sz="1"/>
              <w:right w:val="single" w:color="D35400" w:sz="1"/>
            </w:tcBorders>
            <w:shd w:fill="FDEBD0" w:val="clear"/>
            <w:tcMar>
              <w:top w:type="dxa" w:w="80"/>
              <w:left w:type="dxa" w:w="160"/>
              <w:bottom w:type="dxa" w:w="80"/>
              <w:right w:type="dxa" w:w="160"/>
            </w:tcMar>
          </w:tcPr>
          <w:p>
            <w:r>
              <w:rPr>
                <w:rFonts w:ascii="Arial" w:cs="Arial" w:eastAsia="Arial" w:hAnsi="Arial"/>
                <w:color w:val="1A1A2E"/>
                <w:sz w:val="21"/>
                <w:szCs w:val="21"/>
              </w:rPr>
              <w:t xml:space="preserve">Note critique : Le ndc est fortement influencé par la variabilité du procédé (σProcédé). Si les échantillons sélectionnés pour l'étude MSA ne représentent pas la variabilité réelle du procédé, le ndc sera biaisé. En HPLC pharmaceutique, sélectionner des échantillons couvrant la plage de spécification (ex: 95% à 105% LC).</w:t>
            </w:r>
          </w:p>
        </w:tc>
      </w:tr>
    </w:tbl>
    <w:p>
      <w:pPr>
        <w:spacing w:before="120" w:after="120"/>
      </w:pPr>
      <w:r>
        <w:t xml:space="preserve"/>
      </w:r>
    </w:p>
    <w:p>
      <w:pPr>
        <w:pStyle w:val="Heading3"/>
        <w:spacing w:before="200" w:after="100"/>
      </w:pPr>
      <w:r>
        <w:rPr>
          <w:rFonts w:ascii="Arial" w:cs="Arial" w:eastAsia="Arial" w:hAnsi="Arial"/>
          <w:b/>
          <w:bCs/>
          <w:color w:val="2874A6"/>
          <w:sz w:val="24"/>
          <w:szCs w:val="24"/>
        </w:rPr>
        <w:t xml:space="preserve">Indicateur 3 : % Tolérance (%P/T — Precision to Tolerance)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%P/T = (k × σGRR / Tolérance) × 100   avec k = 5,15 (99% de la population) ou k = 6</w:t>
            </w:r>
          </w:p>
          <w:p>
            <w:pPr>
              <w:spacing w:before="80"/>
            </w:pPr>
            <w:r>
              <w:rPr>
                <w:rFonts w:ascii="Arial" w:cs="Arial" w:eastAsia="Arial" w:hAnsi="Arial"/>
                <w:i/>
                <w:iCs/>
                <w:color w:val="5D6D7E"/>
                <w:sz w:val="20"/>
                <w:szCs w:val="20"/>
              </w:rPr>
              <w:t xml:space="preserve">Part de la tolérance consommée par la variabilité du système de mesure</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600"/>
        <w:gridCol w:w="5160"/>
      </w:tblGrid>
      <w:tr>
        <w:trPr>
          <w:tblHeader/>
        </w:trPr>
        <w:tc>
          <w:tcPr>
            <w:tcW w:type="dxa" w:w="1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%P/T</w:t>
            </w:r>
          </w:p>
        </w:tc>
        <w:tc>
          <w:tcPr>
            <w:tcW w:type="dxa" w:w="2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Critère d'acceptation</w:t>
            </w:r>
          </w:p>
        </w:tc>
        <w:tc>
          <w:tcPr>
            <w:tcW w:type="dxa" w:w="51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Application pharmaceutique</w:t>
            </w:r>
          </w:p>
        </w:tc>
      </w:tr>
      <w:tr>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&lt; 10%</w:t>
            </w:r>
          </w:p>
        </w:tc>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Excellent</w:t>
            </w:r>
          </w:p>
        </w:tc>
        <w:tc>
          <w:tcPr>
            <w:tcW w:type="dxa" w:w="5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Adapté aux contrôles critiques (libération lot, stabilité)</w:t>
            </w:r>
          </w:p>
        </w:tc>
      </w:tr>
      <w:tr>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10% - 30%</w:t>
            </w:r>
          </w:p>
        </w:tc>
        <w:tc>
          <w:tcPr>
            <w:tcW w:type="dxa" w:w="2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Acceptable</w:t>
            </w:r>
          </w:p>
        </w:tc>
        <w:tc>
          <w:tcPr>
            <w:tcW w:type="dxa" w:w="5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Acceptable pour contrôle en cours de fabrication (IPC)</w:t>
            </w:r>
          </w:p>
        </w:tc>
      </w:tr>
      <w:tr>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&gt; 30%</w:t>
            </w:r>
          </w:p>
        </w:tc>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Inacceptable</w:t>
            </w:r>
          </w:p>
        </w:tc>
        <w:tc>
          <w:tcPr>
            <w:tcW w:type="dxa" w:w="5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Risque de mauvaise décision d'acceptation/rejet — Action corrective</w:t>
            </w:r>
          </w:p>
        </w:tc>
      </w:tr>
    </w:tbl>
    <w:p>
      <w:pPr>
        <w:spacing w:before="80" w:after="120"/>
      </w:pPr>
      <w:r>
        <w:t xml:space="preserve"/>
      </w:r>
    </w:p>
    <w:p>
      <w:pPr>
        <w:spacing w:before="80" w:after="80"/>
      </w:pPr>
      <w:r>
        <w:rPr>
          <w:rFonts w:ascii="Arial" w:cs="Arial" w:eastAsia="Arial" w:hAnsi="Arial"/>
          <w:color w:val="1A1A2E"/>
          <w:sz w:val="22"/>
          <w:szCs w:val="22"/>
        </w:rPr>
        <w:t xml:space="preserve">La tolérance utilisée dans le calcul %P/T correspond aux limites de spécification du produit (LSS - LSI). En dosage HPLC pour substance active, cela correspond typiquement à : Tolérance = 105% - 95% = 10% LC (limites de libération).</w:t>
      </w:r>
    </w:p>
    <w:p>
      <w:pPr>
        <w:spacing w:before="120" w:after="120"/>
      </w:pPr>
      <w:r>
        <w:t xml:space="preserve"/>
      </w:r>
    </w:p>
    <w:p>
      <w:pPr>
        <w:pStyle w:val="Heading2"/>
        <w:spacing w:before="280" w:after="120"/>
      </w:pPr>
      <w:r>
        <w:rPr>
          <w:rFonts w:ascii="Arial" w:cs="Arial" w:eastAsia="Arial" w:hAnsi="Arial"/>
          <w:b/>
          <w:bCs/>
          <w:color w:val="2E75B6"/>
          <w:sz w:val="28"/>
          <w:szCs w:val="28"/>
        </w:rPr>
        <w:t xml:space="preserve">7.4.2 Adaptation des critères au contexte réglementaire</w:t>
      </w:r>
    </w:p>
    <w:p>
      <w:pPr>
        <w:spacing w:before="80" w:after="80"/>
      </w:pPr>
      <w:r>
        <w:rPr>
          <w:rFonts w:ascii="Arial" w:cs="Arial" w:eastAsia="Arial" w:hAnsi="Arial"/>
          <w:color w:val="1A1A2E"/>
          <w:sz w:val="22"/>
          <w:szCs w:val="22"/>
        </w:rPr>
        <w:t xml:space="preserve">Les critères AIAG ont été définis pour l'industrie manufacturière. En environnement pharmaceutique réglementé (ICH, FDA, EMA), leur interprétation requiert une approche basée sur le risque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800"/>
        <w:gridCol w:w="3360"/>
      </w:tblGrid>
      <w:tr>
        <w:trPr>
          <w:tblHeader/>
        </w:trPr>
        <w:tc>
          <w:tcPr>
            <w:tcW w:type="dxa" w:w="32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Référence réglementaire</w:t>
            </w:r>
          </w:p>
        </w:tc>
        <w:tc>
          <w:tcPr>
            <w:tcW w:type="dxa" w:w="2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Exigence MSA</w:t>
            </w:r>
          </w:p>
        </w:tc>
        <w:tc>
          <w:tcPr>
            <w:tcW w:type="dxa" w:w="33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Critère numérique</w:t>
            </w:r>
          </w:p>
        </w:tc>
      </w:tr>
      <w:tr>
        <w:tc>
          <w:tcPr>
            <w:tcW w:type="dxa" w:w="3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ICH Q2(R1/R2) – Validation analytique</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Fidélité (répétabilité, reproductibilité)</w:t>
            </w:r>
          </w:p>
        </w:tc>
        <w:tc>
          <w:tcPr>
            <w:tcW w:type="dxa" w:w="3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%RSD ≤ 2% (dosage), ≤ 5-10% (impuretés basses teneurs)</w:t>
            </w:r>
          </w:p>
        </w:tc>
      </w:tr>
      <w:tr>
        <w:tc>
          <w:tcPr>
            <w:tcW w:type="dxa" w:w="3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USP &lt;1225&gt; Validation of Compendial Methods</w:t>
            </w:r>
          </w:p>
        </w:tc>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Justesse et fidélité</w:t>
            </w:r>
          </w:p>
        </w:tc>
        <w:tc>
          <w:tcPr>
            <w:tcW w:type="dxa" w:w="33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Recouvrement 98-102%, %RSD ≤ 2%</w:t>
            </w:r>
          </w:p>
        </w:tc>
      </w:tr>
      <w:tr>
        <w:tc>
          <w:tcPr>
            <w:tcW w:type="dxa" w:w="3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EMA Guideline on Bioanalytical Methods</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Précision et exactitude</w:t>
            </w:r>
          </w:p>
        </w:tc>
        <w:tc>
          <w:tcPr>
            <w:tcW w:type="dxa" w:w="3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Biais ≤ 15% (≤ 20% LLOQ), CV ≤ 15%</w:t>
            </w:r>
          </w:p>
        </w:tc>
      </w:tr>
      <w:tr>
        <w:tc>
          <w:tcPr>
            <w:tcW w:type="dxa" w:w="3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FDA 21 CFR Part 211 (cGMP)</w:t>
            </w:r>
          </w:p>
        </w:tc>
        <w:tc>
          <w:tcPr>
            <w:tcW w:type="dxa" w:w="2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Adéquation du système analytique</w:t>
            </w:r>
          </w:p>
        </w:tc>
        <w:tc>
          <w:tcPr>
            <w:tcW w:type="dxa" w:w="33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Qualification SST avant analyse, critères dans protocole validé</w:t>
            </w:r>
          </w:p>
        </w:tc>
      </w:tr>
      <w:tr>
        <w:tc>
          <w:tcPr>
            <w:tcW w:type="dxa" w:w="3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ISO/IEC 17025 – Accréditation labo</w:t>
            </w:r>
          </w:p>
        </w:tc>
        <w:tc>
          <w:tcPr>
            <w:tcW w:type="dxa" w:w="2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Incertitude de mesure</w:t>
            </w:r>
          </w:p>
        </w:tc>
        <w:tc>
          <w:tcPr>
            <w:tcW w:type="dxa" w:w="33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Estimation U(y) selon GUM, déclaration obligatoire</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7.4.3 Test de suitabilité du système (SST) et MSA</w:t>
      </w:r>
    </w:p>
    <w:p>
      <w:pPr>
        <w:spacing w:before="80" w:after="80"/>
      </w:pPr>
      <w:r>
        <w:rPr>
          <w:rFonts w:ascii="Arial" w:cs="Arial" w:eastAsia="Arial" w:hAnsi="Arial"/>
          <w:color w:val="1A1A2E"/>
          <w:sz w:val="22"/>
          <w:szCs w:val="22"/>
        </w:rPr>
        <w:t xml:space="preserve">Le System Suitability Test (SST) est un contrôle pré-analytique obligatoire en HPLC pharmaceutique. Il est distinct de la MSA mais y est étroitement lié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1F4E79" w:val="clear"/>
            <w:tcMar>
              <w:top w:type="dxa" w:w="100"/>
              <w:left w:type="dxa" w:w="160"/>
              <w:bottom w:type="dxa" w:w="100"/>
              <w:right w:type="dxa" w:w="160"/>
            </w:tcMar>
          </w:tcPr>
          <w:p>
            <w:r>
              <w:rPr>
                <w:rFonts w:ascii="Arial" w:cs="Arial" w:eastAsia="Arial" w:hAnsi="Arial"/>
                <w:b/>
                <w:bCs/>
                <w:color w:val="FFFFFF"/>
                <w:sz w:val="22"/>
                <w:szCs w:val="22"/>
              </w:rPr>
              <w:t xml:space="preserve">Relation SST / MSA</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SST (avant chaque analyse) → Vérifie que le système est dans son état de qualification</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Paramètres SST typiques : facteur de rétention k', résolution Rs, efficacité N, asymétrie As, %CV injecteur</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MSA (périodique / lors de validation) → Évalue la performance globale du système incluant l'analyste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Les critères SST sont dérivés des études MSA : SST fixe les limites pour détection de dérive instrumentale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Exemple : Si MSA donne σrépétabilité (injecteur) = 0,15%, alors le critère SST pour le %CV sera fixé à ≤ 1,0% (6σ)</w:t>
            </w:r>
          </w:p>
        </w:tc>
      </w:tr>
    </w:tbl>
    <w:p>
      <w:pPr>
        <w:spacing w:before="200" w:after="120"/>
      </w:pPr>
      <w:r>
        <w:t xml:space="preserve"/>
      </w:r>
    </w:p>
    <w:p>
      <w:r>
        <w:br w:type="page"/>
      </w:r>
    </w:p>
    <w:p>
      <w:pPr>
        <w:pStyle w:val="Heading1"/>
        <w:pBdr>
          <w:bottom w:val="single" w:color="2E75B6" w:sz="8" w:space="4"/>
        </w:pBdr>
        <w:spacing w:before="360" w:after="180"/>
      </w:pPr>
      <w:r>
        <w:rPr>
          <w:rFonts w:ascii="Arial" w:cs="Arial" w:eastAsia="Arial" w:hAnsi="Arial"/>
          <w:b/>
          <w:bCs/>
          <w:color w:val="1F4E79"/>
          <w:sz w:val="32"/>
          <w:szCs w:val="32"/>
        </w:rPr>
        <w:t xml:space="preserve">7.5 Intégration des résultats MSA dans l'incertitude de mesure et la gestion du risque</w:t>
      </w:r>
    </w:p>
    <w:p>
      <w:pPr>
        <w:pStyle w:val="Heading2"/>
        <w:spacing w:before="280" w:after="120"/>
      </w:pPr>
      <w:r>
        <w:rPr>
          <w:rFonts w:ascii="Arial" w:cs="Arial" w:eastAsia="Arial" w:hAnsi="Arial"/>
          <w:b/>
          <w:bCs/>
          <w:color w:val="2E75B6"/>
          <w:sz w:val="28"/>
          <w:szCs w:val="28"/>
        </w:rPr>
        <w:t xml:space="preserve">7.5.1 Du Gage R&amp;R à l'incertitude de mesure (GUM)</w:t>
      </w:r>
    </w:p>
    <w:p>
      <w:pPr>
        <w:spacing w:before="80" w:after="80"/>
      </w:pPr>
      <w:r>
        <w:rPr>
          <w:rFonts w:ascii="Arial" w:cs="Arial" w:eastAsia="Arial" w:hAnsi="Arial"/>
          <w:color w:val="1A1A2E"/>
          <w:sz w:val="22"/>
          <w:szCs w:val="22"/>
        </w:rPr>
        <w:t xml:space="preserve">Le Guide pour l'Expression de l'Incertitude de Mesure (GUM, JCGM 100:2008) fournit le cadre normatif pour l'estimation de l'incertitude analytique. L'approche "bottom-up" (modèle mathématique) et l'approche "top-down" (données empiriques) sont toutes deux utilisables en HPLC pharmaceutique.</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Approche Top-Down (basée sur les données MSA)</w:t>
      </w:r>
    </w:p>
    <w:p>
      <w:pPr>
        <w:spacing w:before="80" w:after="80"/>
      </w:pPr>
      <w:r>
        <w:rPr>
          <w:rFonts w:ascii="Arial" w:cs="Arial" w:eastAsia="Arial" w:hAnsi="Arial"/>
          <w:color w:val="1A1A2E"/>
          <w:sz w:val="22"/>
          <w:szCs w:val="22"/>
        </w:rPr>
        <w:t xml:space="preserve">Cette approche, recommandée par EURACHEM/CITAC (Guide CG4), utilise directement les données de validation et de contrôle qualité pour estimer l'incertitude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u(répétabilité) = σrépétabilité / √n   (avec n = nombre d'injections/préparations)</w:t>
            </w:r>
          </w:p>
          <w:p>
            <w:pPr>
              <w:spacing w:before="80"/>
            </w:pPr>
            <w:r>
              <w:rPr>
                <w:rFonts w:ascii="Arial" w:cs="Arial" w:eastAsia="Arial" w:hAnsi="Arial"/>
                <w:i/>
                <w:iCs/>
                <w:color w:val="5D6D7E"/>
                <w:sz w:val="20"/>
                <w:szCs w:val="20"/>
              </w:rPr>
              <w:t xml:space="preserve">Incertitude standard de répétabilité</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u(reproductibilité) = σreproductibilité (composante de variance analyste + inter-jour)</w:t>
            </w:r>
          </w:p>
          <w:p>
            <w:pPr>
              <w:spacing w:before="80"/>
            </w:pPr>
            <w:r>
              <w:rPr>
                <w:rFonts w:ascii="Arial" w:cs="Arial" w:eastAsia="Arial" w:hAnsi="Arial"/>
                <w:i/>
                <w:iCs/>
                <w:color w:val="5D6D7E"/>
                <w:sz w:val="20"/>
                <w:szCs w:val="20"/>
              </w:rPr>
              <w:t xml:space="preserve">Incertitude standard de reproductibilité</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u(justesse) = |Biais moyen| / √3   (si biais considéré comme distribution uniforme)</w:t>
            </w:r>
          </w:p>
          <w:p>
            <w:pPr>
              <w:spacing w:before="80"/>
            </w:pPr>
            <w:r>
              <w:rPr>
                <w:rFonts w:ascii="Arial" w:cs="Arial" w:eastAsia="Arial" w:hAnsi="Arial"/>
                <w:i/>
                <w:iCs/>
                <w:color w:val="5D6D7E"/>
                <w:sz w:val="20"/>
                <w:szCs w:val="20"/>
              </w:rPr>
              <w:t xml:space="preserve">Incertitude standard de justesse</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u(combinée) = √[u²(répétabilité) + u²(reproductibilité) + u²(justesse) + u²(étalonnage) + ...]</w:t>
            </w:r>
          </w:p>
          <w:p>
            <w:pPr>
              <w:spacing w:before="80"/>
            </w:pPr>
            <w:r>
              <w:rPr>
                <w:rFonts w:ascii="Arial" w:cs="Arial" w:eastAsia="Arial" w:hAnsi="Arial"/>
                <w:i/>
                <w:iCs/>
                <w:color w:val="5D6D7E"/>
                <w:sz w:val="20"/>
                <w:szCs w:val="20"/>
              </w:rPr>
              <w:t xml:space="preserve">Incertitude combinée par propagation quadratique</w:t>
            </w:r>
          </w:p>
        </w:tc>
      </w:tr>
    </w:tbl>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D35400" w:sz="1"/>
              <w:left w:val="single" w:color="D35400" w:sz="1"/>
              <w:bottom w:val="single" w:color="D35400" w:sz="1"/>
              <w:right w:val="single" w:color="D35400" w:sz="1"/>
            </w:tcBorders>
            <w:shd w:fill="FDEBD0" w:val="clear"/>
            <w:tcMar>
              <w:top w:type="dxa" w:w="120"/>
              <w:left w:type="dxa" w:w="200"/>
              <w:bottom w:type="dxa" w:w="120"/>
              <w:right w:type="dxa" w:w="200"/>
            </w:tcMar>
          </w:tcPr>
          <w:p>
            <w:pPr>
              <w:jc w:val="center"/>
            </w:pPr>
            <w:r>
              <w:rPr>
                <w:rFonts w:ascii="Courier New" w:cs="Courier New" w:eastAsia="Courier New" w:hAnsi="Courier New"/>
                <w:b/>
                <w:bCs/>
                <w:color w:val="D35400"/>
                <w:sz w:val="24"/>
                <w:szCs w:val="24"/>
              </w:rPr>
              <w:t xml:space="preserve">U(élargie) = k × u(combinée)   avec k = 2 pour niveau de confiance ~95%</w:t>
            </w:r>
          </w:p>
          <w:p>
            <w:pPr>
              <w:spacing w:before="80"/>
            </w:pPr>
            <w:r>
              <w:rPr>
                <w:rFonts w:ascii="Arial" w:cs="Arial" w:eastAsia="Arial" w:hAnsi="Arial"/>
                <w:i/>
                <w:iCs/>
                <w:color w:val="5D6D7E"/>
                <w:sz w:val="20"/>
                <w:szCs w:val="20"/>
              </w:rPr>
              <w:t xml:space="preserve">Incertitude élargie — résultat rapporté : x ± U</w:t>
            </w:r>
          </w:p>
        </w:tc>
      </w:tr>
    </w:tbl>
    <w:p>
      <w:pPr>
        <w:spacing w:before="120" w:after="120"/>
      </w:pPr>
      <w:r>
        <w:t xml:space="preserve"/>
      </w:r>
    </w:p>
    <w:p>
      <w:pPr>
        <w:pStyle w:val="Heading3"/>
        <w:spacing w:before="200" w:after="100"/>
      </w:pPr>
      <w:r>
        <w:rPr>
          <w:rFonts w:ascii="Arial" w:cs="Arial" w:eastAsia="Arial" w:hAnsi="Arial"/>
          <w:b/>
          <w:bCs/>
          <w:color w:val="2874A6"/>
          <w:sz w:val="24"/>
          <w:szCs w:val="24"/>
        </w:rPr>
        <w:t xml:space="preserve">Budget d'incertitude type pour dosage HPLC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500"/>
        <w:gridCol w:w="800"/>
        <w:gridCol w:w="3060"/>
      </w:tblGrid>
      <w:tr>
        <w:trPr>
          <w:tblHeader/>
        </w:trPr>
        <w:tc>
          <w:tcPr>
            <w:tcW w:type="dxa" w:w="3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Composante d'incertitude</w:t>
            </w:r>
          </w:p>
        </w:tc>
        <w:tc>
          <w:tcPr>
            <w:tcW w:type="dxa" w:w="25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Source</w:t>
            </w:r>
          </w:p>
        </w:tc>
        <w:tc>
          <w:tcPr>
            <w:tcW w:type="dxa" w:w="8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Type</w:t>
            </w:r>
          </w:p>
        </w:tc>
        <w:tc>
          <w:tcPr>
            <w:tcW w:type="dxa" w:w="30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Estimation u(xi) typique</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Répétabilité injection</w:t>
            </w:r>
          </w:p>
        </w:tc>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MSA — σ(répétabilité injecteur)</w:t>
            </w:r>
          </w:p>
        </w:tc>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w:t>
            </w:r>
          </w:p>
        </w:tc>
        <w:tc>
          <w:tcPr>
            <w:tcW w:type="dxa" w:w="3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0,07-0,15%</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Répétabilité préparation</w:t>
            </w:r>
          </w:p>
        </w:tc>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MSA — σ(répétabilité méthode)</w:t>
            </w:r>
          </w:p>
        </w:tc>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w:t>
            </w:r>
          </w:p>
        </w:tc>
        <w:tc>
          <w:tcPr>
            <w:tcW w:type="dxa" w:w="3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0,3-0,8%</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Reproductibilité (analyste)</w:t>
            </w:r>
          </w:p>
        </w:tc>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MSA — composante analyste</w:t>
            </w:r>
          </w:p>
        </w:tc>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w:t>
            </w:r>
          </w:p>
        </w:tc>
        <w:tc>
          <w:tcPr>
            <w:tcW w:type="dxa" w:w="3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0,2-0,5%</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Reproductibilité (jour)</w:t>
            </w:r>
          </w:p>
        </w:tc>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MSA — composante inter-jour</w:t>
            </w:r>
          </w:p>
        </w:tc>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w:t>
            </w:r>
          </w:p>
        </w:tc>
        <w:tc>
          <w:tcPr>
            <w:tcW w:type="dxa" w:w="3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0,1-0,3%</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Étalonnage standard</w:t>
            </w:r>
          </w:p>
        </w:tc>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Certificat + traçabilité</w:t>
            </w:r>
          </w:p>
        </w:tc>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B</w:t>
            </w:r>
          </w:p>
        </w:tc>
        <w:tc>
          <w:tcPr>
            <w:tcW w:type="dxa" w:w="3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0,05-0,2%</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Pesée (balance)</w:t>
            </w:r>
          </w:p>
        </w:tc>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Certificat calibration</w:t>
            </w:r>
          </w:p>
        </w:tc>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B</w:t>
            </w:r>
          </w:p>
        </w:tc>
        <w:tc>
          <w:tcPr>
            <w:tcW w:type="dxa" w:w="3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0,01-0,05%</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Volumétrie (fioles)</w:t>
            </w:r>
          </w:p>
        </w:tc>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Certificat + température</w:t>
            </w:r>
          </w:p>
        </w:tc>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B</w:t>
            </w:r>
          </w:p>
        </w:tc>
        <w:tc>
          <w:tcPr>
            <w:tcW w:type="dxa" w:w="3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0,02-0,1%</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Justesse (biais)</w:t>
            </w:r>
          </w:p>
        </w:tc>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Données de validation MRC</w:t>
            </w:r>
          </w:p>
        </w:tc>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A+B</w:t>
            </w:r>
          </w:p>
        </w:tc>
        <w:tc>
          <w:tcPr>
            <w:tcW w:type="dxa" w:w="3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0,1-0,5%</w:t>
            </w:r>
          </w:p>
        </w:tc>
      </w:tr>
      <w:tr>
        <w:tc>
          <w:tcPr>
            <w:tcW w:type="dxa" w:w="3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Incertitude combinée (u)</w:t>
            </w:r>
          </w:p>
        </w:tc>
        <w:tc>
          <w:tcPr>
            <w:tcW w:type="dxa" w:w="25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Somme quadratique</w:t>
            </w:r>
          </w:p>
        </w:tc>
        <w:tc>
          <w:tcPr>
            <w:tcW w:type="dxa" w:w="8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w:t>
            </w:r>
          </w:p>
        </w:tc>
        <w:tc>
          <w:tcPr>
            <w:tcW w:type="dxa" w:w="30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~0,5-1,2%</w:t>
            </w:r>
          </w:p>
        </w:tc>
      </w:tr>
      <w:tr>
        <w:tc>
          <w:tcPr>
            <w:tcW w:type="dxa" w:w="3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Incertitude élargie (U, k=2)</w:t>
            </w:r>
          </w:p>
        </w:tc>
        <w:tc>
          <w:tcPr>
            <w:tcW w:type="dxa" w:w="25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u × 2</w:t>
            </w:r>
          </w:p>
        </w:tc>
        <w:tc>
          <w:tcPr>
            <w:tcW w:type="dxa" w:w="8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w:t>
            </w:r>
          </w:p>
        </w:tc>
        <w:tc>
          <w:tcPr>
            <w:tcW w:type="dxa" w:w="30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~1,0-2,4%</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7.5.2 Gestion du risque décisionnel</w:t>
      </w:r>
    </w:p>
    <w:p>
      <w:pPr>
        <w:spacing w:before="80" w:after="80"/>
      </w:pPr>
      <w:r>
        <w:rPr>
          <w:rFonts w:ascii="Arial" w:cs="Arial" w:eastAsia="Arial" w:hAnsi="Arial"/>
          <w:color w:val="1A1A2E"/>
          <w:sz w:val="22"/>
          <w:szCs w:val="22"/>
        </w:rPr>
        <w:t xml:space="preserve">L'incertitude de mesure a un impact direct sur le risque de prendre une mauvaise décision lors de l'acceptation ou du rejet d'un lot pharmaceutique. La norme ISO 14253-1 fournit un cadre pour cette analyse.</w:t>
      </w:r>
    </w:p>
    <w:p>
      <w:pPr>
        <w:spacing w:before="80" w:after="120"/>
      </w:pPr>
      <w:r>
        <w:t xml:space="preserve"/>
      </w:r>
    </w:p>
    <w:p>
      <w:pPr>
        <w:pStyle w:val="Heading3"/>
        <w:spacing w:before="200" w:after="100"/>
      </w:pPr>
      <w:r>
        <w:rPr>
          <w:rFonts w:ascii="Arial" w:cs="Arial" w:eastAsia="Arial" w:hAnsi="Arial"/>
          <w:b/>
          <w:bCs/>
          <w:color w:val="2874A6"/>
          <w:sz w:val="24"/>
          <w:szCs w:val="24"/>
        </w:rPr>
        <w:t xml:space="preserve">Zone d'incertitude et risques associés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2200"/>
        <w:gridCol w:w="1560"/>
        <w:gridCol w:w="1400"/>
      </w:tblGrid>
      <w:tr>
        <w:trPr>
          <w:tblHeader/>
        </w:trPr>
        <w:tc>
          <w:tcPr>
            <w:tcW w:type="dxa" w:w="2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Scénario</w:t>
            </w:r>
          </w:p>
        </w:tc>
        <w:tc>
          <w:tcPr>
            <w:tcW w:type="dxa" w:w="22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Résultat mesuré</w:t>
            </w:r>
          </w:p>
        </w:tc>
        <w:tc>
          <w:tcPr>
            <w:tcW w:type="dxa" w:w="22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Valeur vraie probable</w:t>
            </w:r>
          </w:p>
        </w:tc>
        <w:tc>
          <w:tcPr>
            <w:tcW w:type="dxa" w:w="15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Risque</w:t>
            </w:r>
          </w:p>
        </w:tc>
        <w:tc>
          <w:tcPr>
            <w:tcW w:type="dxa" w:w="14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Décision recommandée</w:t>
            </w:r>
          </w:p>
        </w:tc>
      </w:tr>
      <w:tr>
        <w:tc>
          <w:tcPr>
            <w:tcW w:type="dxa" w:w="2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Conformité certaine</w:t>
            </w:r>
          </w:p>
        </w:tc>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x &gt; LSS + U</w:t>
            </w:r>
          </w:p>
        </w:tc>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Au-dessus de la spécification</w:t>
            </w:r>
          </w:p>
        </w:tc>
        <w:tc>
          <w:tcPr>
            <w:tcW w:type="dxa" w:w="15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Libération incorrecte (faible)</w:t>
            </w:r>
          </w:p>
        </w:tc>
        <w:tc>
          <w:tcPr>
            <w:tcW w:type="dxa" w:w="1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Rejet sûr</w:t>
            </w:r>
          </w:p>
        </w:tc>
      </w:tr>
      <w:tr>
        <w:tc>
          <w:tcPr>
            <w:tcW w:type="dxa" w:w="2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Non-conformité certaine</w:t>
            </w:r>
          </w:p>
        </w:tc>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x &lt; LSI - U</w:t>
            </w:r>
          </w:p>
        </w:tc>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En-dessous de la spécification</w:t>
            </w:r>
          </w:p>
        </w:tc>
        <w:tc>
          <w:tcPr>
            <w:tcW w:type="dxa" w:w="15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Libération incorrecte (faible)</w:t>
            </w:r>
          </w:p>
        </w:tc>
        <w:tc>
          <w:tcPr>
            <w:tcW w:type="dxa" w:w="14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Rejet sûr</w:t>
            </w:r>
          </w:p>
        </w:tc>
      </w:tr>
      <w:tr>
        <w:tc>
          <w:tcPr>
            <w:tcW w:type="dxa" w:w="2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Zone grise haute</w:t>
            </w:r>
          </w:p>
        </w:tc>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LSS - U &lt; x &lt; LSS + U</w:t>
            </w:r>
          </w:p>
        </w:tc>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Incertaine (peut être NC)</w:t>
            </w:r>
          </w:p>
        </w:tc>
        <w:tc>
          <w:tcPr>
            <w:tcW w:type="dxa" w:w="15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Risque patient (libération NC)</w:t>
            </w:r>
          </w:p>
        </w:tc>
        <w:tc>
          <w:tcPr>
            <w:tcW w:type="dxa" w:w="1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Investigation, mesures supplémentaires</w:t>
            </w:r>
          </w:p>
        </w:tc>
      </w:tr>
      <w:tr>
        <w:tc>
          <w:tcPr>
            <w:tcW w:type="dxa" w:w="2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Conforme</w:t>
            </w:r>
          </w:p>
        </w:tc>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LSI + U &lt; x &lt; LSS - U</w:t>
            </w:r>
          </w:p>
        </w:tc>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Très probablement conforme</w:t>
            </w:r>
          </w:p>
        </w:tc>
        <w:tc>
          <w:tcPr>
            <w:tcW w:type="dxa" w:w="15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Rejet incorrect (très faible)</w:t>
            </w:r>
          </w:p>
        </w:tc>
        <w:tc>
          <w:tcPr>
            <w:tcW w:type="dxa" w:w="14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Libération sûre</w:t>
            </w:r>
          </w:p>
        </w:tc>
      </w:tr>
      <w:tr>
        <w:tc>
          <w:tcPr>
            <w:tcW w:type="dxa" w:w="2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Zone grise basse</w:t>
            </w:r>
          </w:p>
        </w:tc>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LSI - U &lt; x &lt; LSI + U</w:t>
            </w:r>
          </w:p>
        </w:tc>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Incertaine (peut être NC)</w:t>
            </w:r>
          </w:p>
        </w:tc>
        <w:tc>
          <w:tcPr>
            <w:tcW w:type="dxa" w:w="15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Risque patient (libération NC)</w:t>
            </w:r>
          </w:p>
        </w:tc>
        <w:tc>
          <w:tcPr>
            <w:tcW w:type="dxa" w:w="14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Investigation, mesures supplémentaires</w:t>
            </w:r>
          </w:p>
        </w:tc>
      </w:tr>
    </w:tbl>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
        <w:gridCol w:w="9160"/>
      </w:tblGrid>
      <w:tr>
        <w:tc>
          <w:tcPr>
            <w:tcBorders>
              <w:top w:val="single" w:color="C0392B" w:sz="1"/>
              <w:left w:val="single" w:color="C0392B" w:sz="1"/>
              <w:bottom w:val="single" w:color="C0392B" w:sz="1"/>
              <w:right w:val="single" w:color="C0392B" w:sz="1"/>
            </w:tcBorders>
            <w:shd w:fill="C0392B" w:val="clear"/>
            <w:tcMar>
              <w:top w:type="dxa" w:w="80"/>
              <w:left w:type="dxa" w:w="100"/>
              <w:bottom w:type="dxa" w:w="80"/>
              <w:right w:type="dxa" w:w="100"/>
            </w:tcMar>
            <w:vAlign w:val="center"/>
          </w:tcPr>
          <w:p>
            <w:pPr>
              <w:jc w:val="center"/>
            </w:pPr>
            <w:r>
              <w:rPr>
                <w:rFonts w:ascii="Arial" w:cs="Arial" w:eastAsia="Arial" w:hAnsi="Arial"/>
                <w:b/>
                <w:bCs/>
                <w:color w:val="FFFFFF"/>
                <w:sz w:val="26"/>
                <w:szCs w:val="26"/>
              </w:rPr>
              <w:t xml:space="preserve">!</w:t>
            </w:r>
          </w:p>
        </w:tc>
        <w:tc>
          <w:tcPr>
            <w:tcBorders>
              <w:top w:val="single" w:color="C0392B" w:sz="1"/>
              <w:left w:val="single" w:color="C0392B" w:sz="1"/>
              <w:bottom w:val="single" w:color="C0392B" w:sz="1"/>
              <w:right w:val="single" w:color="C0392B" w:sz="1"/>
            </w:tcBorders>
            <w:shd w:fill="FADBD8" w:val="clear"/>
            <w:tcMar>
              <w:top w:type="dxa" w:w="80"/>
              <w:left w:type="dxa" w:w="160"/>
              <w:bottom w:type="dxa" w:w="80"/>
              <w:right w:type="dxa" w:w="160"/>
            </w:tcMar>
          </w:tcPr>
          <w:p>
            <w:r>
              <w:rPr>
                <w:rFonts w:ascii="Arial" w:cs="Arial" w:eastAsia="Arial" w:hAnsi="Arial"/>
                <w:color w:val="1A1A2E"/>
                <w:sz w:val="21"/>
                <w:szCs w:val="21"/>
              </w:rPr>
              <w:t xml:space="preserve">Implication réglementaire : La FDA et l'EMA acceptent l'approche basée sur le risque pour les décisions en zone d'incertitude. Un plan de gestion du risque documenté (incluant l'incertitude de mesure U) doit être disponible dans le système pharmaceutique qualité (PQS). L'ICH Q9(R1) fournit le cadre pour cette démarche.</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7.5.3 Tableau de bord MSA — Synthèse et surveillance</w:t>
      </w:r>
    </w:p>
    <w:p>
      <w:pPr>
        <w:spacing w:before="80" w:after="80"/>
      </w:pPr>
      <w:r>
        <w:rPr>
          <w:rFonts w:ascii="Arial" w:cs="Arial" w:eastAsia="Arial" w:hAnsi="Arial"/>
          <w:color w:val="1A1A2E"/>
          <w:sz w:val="22"/>
          <w:szCs w:val="22"/>
        </w:rPr>
        <w:t xml:space="preserve">L'intégration des résultats MSA dans le système qualité nécessite un tableau de bord de surveillance continue :</w:t>
      </w:r>
    </w:p>
    <w:p>
      <w:pPr>
        <w:spacing w:before="8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600"/>
        <w:gridCol w:w="1600"/>
        <w:gridCol w:w="1600"/>
        <w:gridCol w:w="1960"/>
      </w:tblGrid>
      <w:tr>
        <w:trPr>
          <w:tblHeader/>
        </w:trPr>
        <w:tc>
          <w:tcPr>
            <w:tcW w:type="dxa" w:w="2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Indicateur MSA</w:t>
            </w:r>
          </w:p>
        </w:tc>
        <w:tc>
          <w:tcPr>
            <w:tcW w:type="dxa" w:w="1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Valeur cible</w:t>
            </w:r>
          </w:p>
        </w:tc>
        <w:tc>
          <w:tcPr>
            <w:tcW w:type="dxa" w:w="1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Seuil d'alerte</w:t>
            </w:r>
          </w:p>
        </w:tc>
        <w:tc>
          <w:tcPr>
            <w:tcW w:type="dxa" w:w="16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Seuil d'action</w:t>
            </w:r>
          </w:p>
        </w:tc>
        <w:tc>
          <w:tcPr>
            <w:tcW w:type="dxa" w:w="19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Fréquence de surveillance</w:t>
            </w:r>
          </w:p>
        </w:tc>
      </w:tr>
      <w:tr>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Contribution GRR</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&lt; 10%</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10%</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30%</w:t>
            </w:r>
          </w:p>
        </w:tc>
        <w:tc>
          <w:tcPr>
            <w:tcW w:type="dxa" w:w="19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Annuelle + après changement</w:t>
            </w:r>
          </w:p>
        </w:tc>
      </w:tr>
      <w:tr>
        <w:tc>
          <w:tcPr>
            <w:tcW w:type="dxa" w:w="2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ndc</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5</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4</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3</w:t>
            </w:r>
          </w:p>
        </w:tc>
        <w:tc>
          <w:tcPr>
            <w:tcW w:type="dxa" w:w="19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Annuelle + après changement</w:t>
            </w:r>
          </w:p>
        </w:tc>
      </w:tr>
      <w:tr>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%P/T</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&lt; 10%</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15%</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30%</w:t>
            </w:r>
          </w:p>
        </w:tc>
        <w:tc>
          <w:tcPr>
            <w:tcW w:type="dxa" w:w="19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Annuelle</w:t>
            </w:r>
          </w:p>
        </w:tc>
      </w:tr>
      <w:tr>
        <w:tc>
          <w:tcPr>
            <w:tcW w:type="dxa" w:w="2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Biais (justesse)</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&lt; 0,5%</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1,0%</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2,0%</w:t>
            </w:r>
          </w:p>
        </w:tc>
        <w:tc>
          <w:tcPr>
            <w:tcW w:type="dxa" w:w="19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Chaque série (via SST)</w:t>
            </w:r>
          </w:p>
        </w:tc>
      </w:tr>
      <w:tr>
        <w:tc>
          <w:tcPr>
            <w:tcW w:type="dxa" w:w="2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%CV répétabilité</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&lt; 0,5%</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0,8%</w:t>
            </w:r>
          </w:p>
        </w:tc>
        <w:tc>
          <w:tcPr>
            <w:tcW w:type="dxa" w:w="16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 1,5%</w:t>
            </w:r>
          </w:p>
        </w:tc>
        <w:tc>
          <w:tcPr>
            <w:tcW w:type="dxa" w:w="19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Chaque série (SST)</w:t>
            </w:r>
          </w:p>
        </w:tc>
      </w:tr>
      <w:tr>
        <w:tc>
          <w:tcPr>
            <w:tcW w:type="dxa" w:w="2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Incertitude élargie U</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&lt; 2,0%</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2,5%</w:t>
            </w:r>
          </w:p>
        </w:tc>
        <w:tc>
          <w:tcPr>
            <w:tcW w:type="dxa" w:w="16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 4,0%</w:t>
            </w:r>
          </w:p>
        </w:tc>
        <w:tc>
          <w:tcPr>
            <w:tcW w:type="dxa" w:w="19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Revue annuelle</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7.5.4 Processus d'amélioration continue du système de mesure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1E8449" w:val="clear"/>
            <w:tcMar>
              <w:top w:type="dxa" w:w="100"/>
              <w:left w:type="dxa" w:w="160"/>
              <w:bottom w:type="dxa" w:w="100"/>
              <w:right w:type="dxa" w:w="160"/>
            </w:tcMar>
          </w:tcPr>
          <w:p>
            <w:r>
              <w:rPr>
                <w:rFonts w:ascii="Arial" w:cs="Arial" w:eastAsia="Arial" w:hAnsi="Arial"/>
                <w:b/>
                <w:bCs/>
                <w:color w:val="FFFFFF"/>
                <w:sz w:val="22"/>
                <w:szCs w:val="22"/>
              </w:rPr>
              <w:t xml:space="preserve">Cycle PDCA appliqué au système de mesure HPLC</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PLAN : Définir les études MSA à conduire (répétabilité, Gage R&amp;R, justesse, linéarité)</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Identifier les facteurs de variabilité à étudier (analyste, jour, colonne, solvant lot)</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Établir le plan d'expériences (design de l'étude, échantillons représentatifs)</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DO   : Exécuter les études MSA selon le protocole validé</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Documenter toutes les conditions (BPL, BPF 21 CFR Part 211)</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CHECK : Calculer les indicateurs MSA (%GRR, ndc, %P/T, biais, U élargie)</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Évaluer par rapport aux critères d'acceptation réglementaires</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Identifier les composantes dominantes (facteur d'analyste? de jour? d'équipement?)</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ACT  : Si résultats acceptables : documenter et planifier la réévaluation périodique</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Si résultats marginaux ou inacceptables : déployer actions correctives ciblées</w:t>
            </w:r>
          </w:p>
        </w:tc>
      </w:tr>
      <w:tr>
        <w:tc>
          <w:tcPr>
            <w:tcBorders>
              <w:top w:val="single" w:color="2E75B6" w:sz="1"/>
              <w:left w:val="single" w:color="2E75B6" w:sz="1"/>
              <w:bottom w:val="single" w:color="2E75B6" w:sz="1"/>
              <w:right w:val="single" w:color="2E75B6" w:sz="1"/>
            </w:tcBorders>
            <w:shd w:fill="D5F5E3" w:val="clear"/>
            <w:tcMar>
              <w:top w:type="dxa" w:w="80"/>
              <w:left w:type="dxa" w:w="160"/>
              <w:bottom w:type="dxa" w:w="80"/>
              <w:right w:type="dxa" w:w="160"/>
            </w:tcMar>
          </w:tcPr>
          <w:p>
            <w:r>
              <w:rPr>
                <w:rFonts w:ascii="Arial" w:cs="Arial" w:eastAsia="Arial" w:hAnsi="Arial"/>
                <w:color w:val="1A1A2E"/>
                <w:sz w:val="21"/>
                <w:szCs w:val="21"/>
              </w:rPr>
              <w:t xml:space="preserve">       Mettre à jour le plan de surveillance SST et les limites de contrôle</w:t>
            </w:r>
          </w:p>
        </w:tc>
      </w:tr>
    </w:tbl>
    <w:p>
      <w:pPr>
        <w:spacing w:before="200" w:after="120"/>
      </w:pPr>
      <w:r>
        <w:t xml:space="preserve"/>
      </w:r>
    </w:p>
    <w:p>
      <w:r>
        <w:br w:type="page"/>
      </w:r>
    </w:p>
    <w:p>
      <w:pPr>
        <w:pStyle w:val="Heading1"/>
        <w:pBdr>
          <w:bottom w:val="single" w:color="2E75B6" w:sz="8" w:space="4"/>
        </w:pBdr>
        <w:spacing w:before="360" w:after="180"/>
      </w:pPr>
      <w:r>
        <w:rPr>
          <w:rFonts w:ascii="Arial" w:cs="Arial" w:eastAsia="Arial" w:hAnsi="Arial"/>
          <w:b/>
          <w:bCs/>
          <w:color w:val="1F4E79"/>
          <w:sz w:val="32"/>
          <w:szCs w:val="32"/>
        </w:rPr>
        <w:t xml:space="preserve">Récapitulatif du Chapitre 7</w:t>
      </w:r>
    </w:p>
    <w:p>
      <w:pPr>
        <w:spacing w:before="60"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gridSpan w:val="1"/>
            <w:tcBorders>
              <w:top w:val="single" w:color="2E75B6" w:sz="1"/>
              <w:left w:val="single" w:color="2E75B6" w:sz="1"/>
              <w:bottom w:val="single" w:color="2E75B6" w:sz="1"/>
              <w:right w:val="single" w:color="2E75B6" w:sz="1"/>
            </w:tcBorders>
            <w:shd w:fill="1F4E79" w:val="clear"/>
            <w:tcMar>
              <w:top w:type="dxa" w:w="100"/>
              <w:left w:type="dxa" w:w="160"/>
              <w:bottom w:type="dxa" w:w="100"/>
              <w:right w:type="dxa" w:w="160"/>
            </w:tcMar>
          </w:tcPr>
          <w:p>
            <w:r>
              <w:rPr>
                <w:rFonts w:ascii="Arial" w:cs="Arial" w:eastAsia="Arial" w:hAnsi="Arial"/>
                <w:b/>
                <w:bCs/>
                <w:color w:val="FFFFFF"/>
                <w:sz w:val="22"/>
                <w:szCs w:val="22"/>
              </w:rPr>
              <w:t xml:space="preserve">Points clés à retenir</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1. La MSA en laboratoire pharmaceutique adapte les concepts AIAG aux contraintes analytiques :</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échantillons consommables, référentiel ICH/FDA/EMA, approche basée sur le risque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2. La variabilité du système de mesure HPLC se décompose en :</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Répétabilité (injecteur + préparation) + Reproductibilité (analyste + jour + équipement)</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3. Gage R&amp;R Croisé vs Emboîté :</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Croisé = même échantillon mesuré par tous (fidélité intermédiaire standard)</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Emboîté = échantillons différents par analyste (transfert de méthode, dégradable)</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4. Les 3 indicateurs MSA complémentaires :</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%Contribution GRR &lt; 10% : variabilité mesure acceptable vs procédé</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ndc ≥ 5 : discrimination suffisante pour contrôle qualité</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%P/T &lt; 10-30% : variabilité mesure acceptable vs tolérance produit</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5. L'incertitude élargie U = 2 × u(combinée) relie les résultats MSA aux décisions lot</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Les zones grises (x ± U croisant les spécifications) nécessitent un plan de risque documenté</w:t>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
            </w:r>
          </w:p>
        </w:tc>
      </w:tr>
      <w:tr>
        <w:tc>
          <w:tcPr>
            <w:tcBorders>
              <w:top w:val="single" w:color="2E75B6" w:sz="1"/>
              <w:left w:val="single" w:color="2E75B6" w:sz="1"/>
              <w:bottom w:val="single" w:color="2E75B6" w:sz="1"/>
              <w:right w:val="single" w:color="2E75B6" w:sz="1"/>
            </w:tcBorders>
            <w:shd w:fill="D6E4F0" w:val="clear"/>
            <w:tcMar>
              <w:top w:type="dxa" w:w="80"/>
              <w:left w:type="dxa" w:w="160"/>
              <w:bottom w:type="dxa" w:w="80"/>
              <w:right w:type="dxa" w:w="160"/>
            </w:tcMar>
          </w:tcPr>
          <w:p>
            <w:r>
              <w:rPr>
                <w:rFonts w:ascii="Arial" w:cs="Arial" w:eastAsia="Arial" w:hAnsi="Arial"/>
                <w:color w:val="1A1A2E"/>
                <w:sz w:val="21"/>
                <w:szCs w:val="21"/>
              </w:rPr>
              <w:t xml:space="preserve">6. L'amélioration continue (PDCA) du système de mesure est une exigence ICH Q10 / cGMP</w:t>
            </w:r>
          </w:p>
        </w:tc>
      </w:tr>
    </w:tbl>
    <w:p>
      <w:pPr>
        <w:spacing w:before="120" w:after="120"/>
      </w:pPr>
      <w:r>
        <w:t xml:space="preserve"/>
      </w:r>
    </w:p>
    <w:p>
      <w:pPr>
        <w:pStyle w:val="Heading2"/>
        <w:spacing w:before="280" w:after="120"/>
      </w:pPr>
      <w:r>
        <w:rPr>
          <w:rFonts w:ascii="Arial" w:cs="Arial" w:eastAsia="Arial" w:hAnsi="Arial"/>
          <w:b/>
          <w:bCs/>
          <w:color w:val="2E75B6"/>
          <w:sz w:val="28"/>
          <w:szCs w:val="28"/>
        </w:rPr>
        <w:t xml:space="preserve">Lexique MSA – Laboratoire pharmaceutique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5000"/>
        <w:gridCol w:w="2160"/>
      </w:tblGrid>
      <w:tr>
        <w:trPr>
          <w:tblHeader/>
        </w:trPr>
        <w:tc>
          <w:tcPr>
            <w:tcW w:type="dxa" w:w="22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Terme</w:t>
            </w:r>
          </w:p>
        </w:tc>
        <w:tc>
          <w:tcPr>
            <w:tcW w:type="dxa" w:w="500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Définition</w:t>
            </w:r>
          </w:p>
        </w:tc>
        <w:tc>
          <w:tcPr>
            <w:tcW w:type="dxa" w:w="2160"/>
            <w:tcBorders>
              <w:top w:val="single" w:color="2E75B6" w:sz="1"/>
              <w:left w:val="single" w:color="2E75B6" w:sz="1"/>
              <w:bottom w:val="single" w:color="2E75B6" w:sz="1"/>
              <w:right w:val="single" w:color="2E75B6" w:sz="1"/>
            </w:tcBorders>
            <w:shd w:fill="1F4E79" w:val="clear"/>
            <w:tcMar>
              <w:top w:type="dxa" w:w="100"/>
              <w:left w:type="dxa" w:w="120"/>
              <w:bottom w:type="dxa" w:w="100"/>
              <w:right w:type="dxa" w:w="120"/>
            </w:tcMar>
          </w:tcPr>
          <w:p>
            <w:pPr>
              <w:jc w:val="center"/>
            </w:pPr>
            <w:r>
              <w:rPr>
                <w:rFonts w:ascii="Arial" w:cs="Arial" w:eastAsia="Arial" w:hAnsi="Arial"/>
                <w:b/>
                <w:bCs/>
                <w:color w:val="FFFFFF"/>
                <w:sz w:val="21"/>
                <w:szCs w:val="21"/>
              </w:rPr>
              <w:t xml:space="preserve">Référence</w:t>
            </w:r>
          </w:p>
        </w:tc>
      </w:tr>
      <w:tr>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Répétabilité (r)</w:t>
            </w:r>
          </w:p>
        </w:tc>
        <w:tc>
          <w:tcPr>
            <w:tcW w:type="dxa" w:w="5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Fidélité sous conditions de répétabilité (même analyste, même jour, court intervalle)</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ISO 5725-1, ICH Q2</w:t>
            </w:r>
          </w:p>
        </w:tc>
      </w:tr>
      <w:tr>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Reproductibilité (R)</w:t>
            </w:r>
          </w:p>
        </w:tc>
        <w:tc>
          <w:tcPr>
            <w:tcW w:type="dxa" w:w="5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Fidélité inter-laboratoires (études collaboratives, transfert méthode)</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ISO 5725-1</w:t>
            </w:r>
          </w:p>
        </w:tc>
      </w:tr>
      <w:tr>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Fidélité intermédiaire</w:t>
            </w:r>
          </w:p>
        </w:tc>
        <w:tc>
          <w:tcPr>
            <w:tcW w:type="dxa" w:w="5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Fidélité intra-laboratoire avec variations d'analyste, jour, équipement</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ICH Q2(R1/R2)</w:t>
            </w:r>
          </w:p>
        </w:tc>
      </w:tr>
      <w:tr>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Justesse (Trueness)</w:t>
            </w:r>
          </w:p>
        </w:tc>
        <w:tc>
          <w:tcPr>
            <w:tcW w:type="dxa" w:w="5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Accord entre valeur mesurée et valeur vraie — estimée par le biais</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ISO 5725-1</w:t>
            </w:r>
          </w:p>
        </w:tc>
      </w:tr>
      <w:tr>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Exactitude (Accuracy)</w:t>
            </w:r>
          </w:p>
        </w:tc>
        <w:tc>
          <w:tcPr>
            <w:tcW w:type="dxa" w:w="5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Combinaison justesse + fidélité — accord global</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ICH Q2</w:t>
            </w:r>
          </w:p>
        </w:tc>
      </w:tr>
      <w:tr>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%GRR</w:t>
            </w:r>
          </w:p>
        </w:tc>
        <w:tc>
          <w:tcPr>
            <w:tcW w:type="dxa" w:w="5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Pourcentage de variabilité totale due au système de mesure</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AIAG MSA 4th Ed.</w:t>
            </w:r>
          </w:p>
        </w:tc>
      </w:tr>
      <w:tr>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ndc</w:t>
            </w:r>
          </w:p>
        </w:tc>
        <w:tc>
          <w:tcPr>
            <w:tcW w:type="dxa" w:w="5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Nombre de catégories distinctes discriminables par le système</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AIAG MSA</w:t>
            </w:r>
          </w:p>
        </w:tc>
      </w:tr>
      <w:tr>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%P/T</w:t>
            </w:r>
          </w:p>
        </w:tc>
        <w:tc>
          <w:tcPr>
            <w:tcW w:type="dxa" w:w="5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Rapport variabilité mesure / tolérance produit (en %)</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AIAG MSA</w:t>
            </w:r>
          </w:p>
        </w:tc>
      </w:tr>
      <w:tr>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MRC</w:t>
            </w:r>
          </w:p>
        </w:tc>
        <w:tc>
          <w:tcPr>
            <w:tcW w:type="dxa" w:w="5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Matériau de Référence Certifié — valeur assignée avec incertitude certifiée</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ISO 17034</w:t>
            </w:r>
          </w:p>
        </w:tc>
      </w:tr>
      <w:tr>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GUM</w:t>
            </w:r>
          </w:p>
        </w:tc>
        <w:tc>
          <w:tcPr>
            <w:tcW w:type="dxa" w:w="5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Guide pour l'Expression de l'Incertitude de Mesure (JCGM 100:2008)</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BIPM/JCGM</w:t>
            </w:r>
          </w:p>
        </w:tc>
      </w:tr>
      <w:tr>
        <w:tc>
          <w:tcPr>
            <w:tcW w:type="dxa" w:w="22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SST</w:t>
            </w:r>
          </w:p>
        </w:tc>
        <w:tc>
          <w:tcPr>
            <w:tcW w:type="dxa" w:w="500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System Suitability Test — contrôle pré-analytique des performances HPLC</w:t>
            </w:r>
          </w:p>
        </w:tc>
        <w:tc>
          <w:tcPr>
            <w:tcW w:type="dxa" w:w="2160"/>
            <w:tcBorders>
              <w:top w:val="single" w:color="2E75B6" w:sz="1"/>
              <w:left w:val="single" w:color="2E75B6" w:sz="1"/>
              <w:bottom w:val="single" w:color="2E75B6" w:sz="1"/>
              <w:right w:val="single" w:color="2E75B6" w:sz="1"/>
            </w:tcBorders>
            <w:shd w:fill="FFFFFF" w:val="clear"/>
            <w:tcMar>
              <w:top w:type="dxa" w:w="80"/>
              <w:left w:type="dxa" w:w="120"/>
              <w:bottom w:type="dxa" w:w="80"/>
              <w:right w:type="dxa" w:w="120"/>
            </w:tcMar>
          </w:tcPr>
          <w:p>
            <w:r>
              <w:rPr>
                <w:rFonts w:ascii="Arial" w:cs="Arial" w:eastAsia="Arial" w:hAnsi="Arial"/>
                <w:color w:val="1A1A2E"/>
                <w:sz w:val="21"/>
                <w:szCs w:val="21"/>
              </w:rPr>
              <w:t xml:space="preserve">USP &lt;621&gt;, ICH</w:t>
            </w:r>
          </w:p>
        </w:tc>
      </w:tr>
      <w:tr>
        <w:tc>
          <w:tcPr>
            <w:tcW w:type="dxa" w:w="22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BPL</w:t>
            </w:r>
          </w:p>
        </w:tc>
        <w:tc>
          <w:tcPr>
            <w:tcW w:type="dxa" w:w="500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Bonnes Pratiques de Laboratoire — référentiel qualité des études analytiques</w:t>
            </w:r>
          </w:p>
        </w:tc>
        <w:tc>
          <w:tcPr>
            <w:tcW w:type="dxa" w:w="2160"/>
            <w:tcBorders>
              <w:top w:val="single" w:color="2E75B6" w:sz="1"/>
              <w:left w:val="single" w:color="2E75B6" w:sz="1"/>
              <w:bottom w:val="single" w:color="2E75B6" w:sz="1"/>
              <w:right w:val="single" w:color="2E75B6" w:sz="1"/>
            </w:tcBorders>
            <w:shd w:fill="EAF0F6" w:val="clear"/>
            <w:tcMar>
              <w:top w:type="dxa" w:w="80"/>
              <w:left w:type="dxa" w:w="120"/>
              <w:bottom w:type="dxa" w:w="80"/>
              <w:right w:type="dxa" w:w="120"/>
            </w:tcMar>
          </w:tcPr>
          <w:p>
            <w:r>
              <w:rPr>
                <w:rFonts w:ascii="Arial" w:cs="Arial" w:eastAsia="Arial" w:hAnsi="Arial"/>
                <w:color w:val="1A1A2E"/>
                <w:sz w:val="21"/>
                <w:szCs w:val="21"/>
              </w:rPr>
              <w:t xml:space="preserve">OCDE, FDA</w:t>
            </w:r>
          </w:p>
        </w:tc>
      </w:tr>
    </w:tbl>
    <w:p>
      <w:pPr>
        <w:spacing w:before="200" w:after="120"/>
      </w:pPr>
      <w:r>
        <w:t xml:space="preserve"/>
      </w:r>
    </w:p>
    <w:p>
      <w:pPr>
        <w:pBdr>
          <w:top w:val="single" w:color="2E75B6" w:sz="6" w:space="8"/>
        </w:pBdr>
        <w:spacing w:before="240"/>
        <w:jc w:val="center"/>
      </w:pPr>
      <w:r>
        <w:rPr>
          <w:rFonts w:ascii="Arial" w:cs="Arial" w:eastAsia="Arial" w:hAnsi="Arial"/>
          <w:i/>
          <w:iCs/>
          <w:color w:val="5D6D7E"/>
          <w:sz w:val="22"/>
          <w:szCs w:val="22"/>
        </w:rPr>
        <w:t xml:space="preserve">— Fin du Chapitre 7 —</w:t>
      </w:r>
    </w:p>
    <w:sectPr>
      <w:headerReference w:type="default" r:id="rId6"/>
      <w:footerReference w:type="default" r:id="rId7"/>
      <w:pgSz w:w="12240" w:h="15840" w:orient="portrait"/>
      <w:pgMar w:top="1440" w:right="1260" w:bottom="144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4"/>
      </w:pBdr>
      <w:tabs>
        <w:tab w:val="right" w:pos="9360"/>
      </w:tabs>
    </w:pPr>
    <w:r>
      <w:rPr>
        <w:rFonts w:ascii="Arial" w:cs="Arial" w:eastAsia="Arial" w:hAnsi="Arial"/>
        <w:color w:val="5D6D7E"/>
        <w:sz w:val="18"/>
        <w:szCs w:val="18"/>
      </w:rPr>
      <w:t xml:space="preserve">Confidentiel – Usage interne</w:t>
    </w:r>
    <w:r>
      <w:rPr>
        <w:rFonts w:ascii="Arial" w:cs="Arial" w:eastAsia="Arial" w:hAnsi="Arial"/>
        <w:color w:val="5D6D7E"/>
        <w:sz w:val="18"/>
        <w:szCs w:val="18"/>
      </w:rPr>
      <w:t xml:space="preserve">	Page </w:t>
    </w:r>
    <w:fldSimple w:instr="PAG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6" w:space="4"/>
      </w:pBdr>
    </w:pPr>
    <w:r>
      <w:rPr>
        <w:rFonts w:ascii="Arial" w:cs="Arial" w:eastAsia="Arial" w:hAnsi="Arial"/>
        <w:color w:val="5D6D7E"/>
        <w:sz w:val="18"/>
        <w:szCs w:val="18"/>
      </w:rPr>
      <w:t xml:space="preserve">Formation HPLC / Six Sigma</w:t>
    </w:r>
    <w:r>
      <w:rPr>
        <w:rFonts w:ascii="Arial" w:cs="Arial" w:eastAsia="Arial" w:hAnsi="Arial"/>
        <w:b/>
        <w:bCs/>
        <w:color w:val="2E75B6"/>
        <w:sz w:val="18"/>
        <w:szCs w:val="18"/>
      </w:rPr>
      <w:t xml:space="preserve">   |   Chapitre 7 – Analyse des Systèmes de Mesure (MSA)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lvl w:ilvl="2"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80"/>
      <w:outlineLvl w:val="0"/>
    </w:pPr>
    <w:rPr>
      <w:rFonts w:ascii="Arial" w:cs="Arial" w:eastAsia="Arial" w:hAnsi="Arial"/>
      <w:b/>
      <w:bCs/>
      <w:color w:val="1F4E79"/>
      <w:sz w:val="32"/>
      <w:szCs w:val="32"/>
    </w:rPr>
  </w:style>
  <w:style w:type="paragraph" w:styleId="Heading2">
    <w:name w:val="Heading 2"/>
    <w:basedOn w:val="Normal"/>
    <w:next w:val="Normal"/>
    <w:qFormat/>
    <w:pPr>
      <w:spacing w:before="280" w:after="120"/>
      <w:outlineLvl w:val="1"/>
    </w:pPr>
    <w:rPr>
      <w:rFonts w:ascii="Arial" w:cs="Arial" w:eastAsia="Arial" w:hAnsi="Arial"/>
      <w:b/>
      <w:bCs/>
      <w:color w:val="2E75B6"/>
      <w:sz w:val="28"/>
      <w:szCs w:val="28"/>
    </w:rPr>
  </w:style>
  <w:style w:type="paragraph" w:styleId="Heading3">
    <w:name w:val="Heading 3"/>
    <w:basedOn w:val="Normal"/>
    <w:next w:val="Normal"/>
    <w:qFormat/>
    <w:pPr>
      <w:spacing w:before="200" w:after="100"/>
      <w:outlineLvl w:val="2"/>
    </w:pPr>
    <w:rPr>
      <w:rFonts w:ascii="Arial" w:cs="Arial" w:eastAsia="Arial" w:hAnsi="Arial"/>
      <w:b/>
      <w:bCs/>
      <w:color w:val="2874A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2026-03-12T08:50:09.517Z</dcterms:created>
  <dcterms:modified xsi:type="dcterms:W3CDTF">2026-03-12T08:50:09.518Z</dcterms:modified>
</cp:coreProperties>
</file>

<file path=docProps/custom.xml><?xml version="1.0" encoding="utf-8"?>
<Properties xmlns="http://schemas.openxmlformats.org/officeDocument/2006/custom-properties" xmlns:vt="http://schemas.openxmlformats.org/officeDocument/2006/docPropsVTypes"/>
</file>